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32"/>
          <w:szCs w:val="32"/>
          <w:lang w:eastAsia="zh-CN"/>
        </w:rPr>
      </w:pPr>
      <w:r>
        <w:rPr>
          <w:rFonts w:hint="eastAsia" w:ascii="宋体" w:hAnsi="宋体" w:cs="宋体"/>
          <w:b/>
          <w:sz w:val="32"/>
          <w:szCs w:val="32"/>
          <w:lang w:eastAsia="zh-CN"/>
        </w:rPr>
        <w:t>万众达企业CRM视频会议系统与核心网络集成服务项目</w:t>
      </w:r>
    </w:p>
    <w:p>
      <w:pPr>
        <w:jc w:val="center"/>
        <w:rPr>
          <w:rFonts w:ascii="宋体" w:hAnsi="宋体" w:cs="宋体"/>
          <w:b/>
          <w:sz w:val="32"/>
          <w:szCs w:val="32"/>
        </w:rPr>
      </w:pPr>
      <w:r>
        <w:rPr>
          <w:rFonts w:hint="eastAsia" w:ascii="宋体" w:hAnsi="宋体" w:cs="宋体"/>
          <w:b/>
          <w:sz w:val="32"/>
          <w:szCs w:val="32"/>
        </w:rPr>
        <w:t>中标候选人公示</w:t>
      </w:r>
    </w:p>
    <w:p>
      <w:pPr>
        <w:rPr>
          <w:rFonts w:ascii="宋体" w:hAnsi="宋体"/>
          <w:szCs w:val="21"/>
        </w:rPr>
      </w:pPr>
    </w:p>
    <w:p>
      <w:pPr>
        <w:spacing w:line="360" w:lineRule="auto"/>
        <w:rPr>
          <w:rFonts w:hint="eastAsia" w:ascii="宋体" w:hAnsi="宋体" w:eastAsia="宋体"/>
          <w:sz w:val="24"/>
          <w:szCs w:val="24"/>
          <w:lang w:eastAsia="zh-CN"/>
        </w:rPr>
      </w:pPr>
      <w:r>
        <w:rPr>
          <w:rFonts w:hint="eastAsia" w:ascii="宋体" w:hAnsi="宋体"/>
          <w:sz w:val="24"/>
          <w:szCs w:val="24"/>
        </w:rPr>
        <w:t>采购人：</w:t>
      </w:r>
      <w:r>
        <w:rPr>
          <w:rFonts w:hint="eastAsia" w:ascii="宋体" w:hAnsi="宋体"/>
          <w:sz w:val="24"/>
          <w:szCs w:val="24"/>
          <w:lang w:eastAsia="zh-CN"/>
        </w:rPr>
        <w:t>佛山万众达通信科技有限公司</w:t>
      </w:r>
    </w:p>
    <w:p>
      <w:pPr>
        <w:spacing w:line="360" w:lineRule="auto"/>
        <w:rPr>
          <w:rFonts w:ascii="宋体" w:hAnsi="宋体"/>
          <w:sz w:val="24"/>
          <w:szCs w:val="24"/>
        </w:rPr>
      </w:pPr>
      <w:r>
        <w:rPr>
          <w:rFonts w:hint="eastAsia" w:ascii="宋体" w:hAnsi="宋体"/>
          <w:sz w:val="24"/>
          <w:szCs w:val="24"/>
        </w:rPr>
        <w:t>采购代理机构：广州穗科建设管理有限公司</w:t>
      </w:r>
      <w:bookmarkStart w:id="0" w:name="_GoBack"/>
      <w:bookmarkEnd w:id="0"/>
    </w:p>
    <w:p>
      <w:pPr>
        <w:spacing w:line="360" w:lineRule="auto"/>
        <w:rPr>
          <w:rFonts w:hint="default" w:ascii="宋体" w:hAnsi="宋体" w:eastAsia="宋体"/>
          <w:sz w:val="24"/>
          <w:szCs w:val="24"/>
          <w:lang w:val="en-US" w:eastAsia="zh-CN"/>
        </w:rPr>
      </w:pPr>
      <w:r>
        <w:rPr>
          <w:rFonts w:hint="eastAsia" w:ascii="宋体" w:hAnsi="宋体"/>
          <w:sz w:val="24"/>
          <w:szCs w:val="24"/>
        </w:rPr>
        <w:t>项目编号：</w:t>
      </w:r>
      <w:r>
        <w:rPr>
          <w:rFonts w:ascii="宋体" w:hAnsi="宋体"/>
          <w:sz w:val="24"/>
          <w:szCs w:val="24"/>
        </w:rPr>
        <w:t>GZSK-2021-0</w:t>
      </w:r>
      <w:r>
        <w:rPr>
          <w:rFonts w:hint="eastAsia" w:ascii="宋体" w:hAnsi="宋体"/>
          <w:sz w:val="24"/>
          <w:szCs w:val="24"/>
          <w:lang w:val="en-US" w:eastAsia="zh-CN"/>
        </w:rPr>
        <w:t>10</w:t>
      </w:r>
    </w:p>
    <w:p>
      <w:pPr>
        <w:spacing w:line="360" w:lineRule="auto"/>
        <w:rPr>
          <w:rFonts w:hint="eastAsia" w:ascii="宋体" w:hAnsi="宋体" w:eastAsia="宋体"/>
          <w:sz w:val="24"/>
          <w:szCs w:val="24"/>
          <w:lang w:eastAsia="zh-CN"/>
        </w:rPr>
      </w:pPr>
      <w:r>
        <w:rPr>
          <w:rFonts w:hint="eastAsia" w:ascii="宋体" w:hAnsi="宋体"/>
          <w:sz w:val="24"/>
          <w:szCs w:val="24"/>
        </w:rPr>
        <w:t>项目名称：</w:t>
      </w:r>
      <w:r>
        <w:rPr>
          <w:rFonts w:hint="eastAsia" w:ascii="宋体" w:hAnsi="宋体"/>
          <w:sz w:val="24"/>
          <w:szCs w:val="24"/>
          <w:lang w:eastAsia="zh-CN"/>
        </w:rPr>
        <w:t>万众达企业CRM视频会议系统与核心网络集成服务项目</w:t>
      </w:r>
    </w:p>
    <w:p>
      <w:pPr>
        <w:spacing w:line="360" w:lineRule="auto"/>
        <w:ind w:firstLine="480" w:firstLineChars="200"/>
        <w:rPr>
          <w:rFonts w:ascii="宋体" w:hAnsi="宋体"/>
          <w:sz w:val="24"/>
          <w:szCs w:val="24"/>
        </w:rPr>
      </w:pPr>
      <w:r>
        <w:rPr>
          <w:rFonts w:hint="eastAsia" w:ascii="宋体" w:hAnsi="宋体"/>
          <w:sz w:val="24"/>
          <w:szCs w:val="24"/>
        </w:rPr>
        <w:t>广州穗科建设管理有限公司受</w:t>
      </w:r>
      <w:r>
        <w:rPr>
          <w:rFonts w:hint="eastAsia" w:ascii="宋体" w:hAnsi="宋体"/>
          <w:sz w:val="24"/>
          <w:szCs w:val="24"/>
          <w:lang w:eastAsia="zh-CN"/>
        </w:rPr>
        <w:t>佛山万众达通信科技有限公司</w:t>
      </w:r>
      <w:r>
        <w:rPr>
          <w:rFonts w:hint="eastAsia" w:ascii="宋体" w:hAnsi="宋体"/>
          <w:sz w:val="24"/>
          <w:szCs w:val="24"/>
        </w:rPr>
        <w:t>的委托，于20</w:t>
      </w:r>
      <w:r>
        <w:rPr>
          <w:rFonts w:ascii="宋体" w:hAnsi="宋体"/>
          <w:sz w:val="24"/>
          <w:szCs w:val="24"/>
        </w:rPr>
        <w:t>21</w:t>
      </w:r>
      <w:r>
        <w:rPr>
          <w:rFonts w:hint="eastAsia" w:ascii="宋体" w:hAnsi="宋体"/>
          <w:sz w:val="24"/>
          <w:szCs w:val="24"/>
        </w:rPr>
        <w:t>年</w:t>
      </w:r>
      <w:r>
        <w:rPr>
          <w:rFonts w:ascii="宋体" w:hAnsi="宋体"/>
          <w:sz w:val="24"/>
          <w:szCs w:val="24"/>
        </w:rPr>
        <w:t>8</w:t>
      </w:r>
      <w:r>
        <w:rPr>
          <w:rFonts w:hint="eastAsia" w:ascii="宋体" w:hAnsi="宋体"/>
          <w:sz w:val="24"/>
          <w:szCs w:val="24"/>
          <w:lang w:eastAsia="zh-CN"/>
        </w:rPr>
        <w:t>月</w:t>
      </w:r>
      <w:r>
        <w:rPr>
          <w:rFonts w:hint="eastAsia" w:ascii="宋体" w:hAnsi="宋体"/>
          <w:sz w:val="24"/>
          <w:szCs w:val="24"/>
          <w:lang w:val="en-US" w:eastAsia="zh-CN"/>
        </w:rPr>
        <w:t>26日</w:t>
      </w:r>
      <w:r>
        <w:rPr>
          <w:rFonts w:hint="eastAsia" w:ascii="宋体" w:hAnsi="宋体"/>
          <w:sz w:val="24"/>
          <w:szCs w:val="24"/>
        </w:rPr>
        <w:t>就</w:t>
      </w:r>
      <w:r>
        <w:rPr>
          <w:rFonts w:hint="eastAsia" w:ascii="宋体" w:hAnsi="宋体"/>
          <w:sz w:val="24"/>
          <w:szCs w:val="24"/>
          <w:lang w:eastAsia="zh-CN"/>
        </w:rPr>
        <w:t>万众达企业CRM视频会议系统与核心网络集成服务项目</w:t>
      </w:r>
      <w:r>
        <w:rPr>
          <w:rFonts w:hint="eastAsia" w:ascii="宋体" w:hAnsi="宋体"/>
          <w:sz w:val="24"/>
          <w:szCs w:val="24"/>
        </w:rPr>
        <w:t>采用竞争性谈判进行采购。现就本次采购的中标候选人公示如下：</w:t>
      </w:r>
    </w:p>
    <w:p>
      <w:pPr>
        <w:spacing w:line="360" w:lineRule="auto"/>
        <w:ind w:firstLine="480" w:firstLineChars="200"/>
        <w:rPr>
          <w:rFonts w:ascii="宋体" w:hAnsi="宋体"/>
          <w:sz w:val="24"/>
          <w:szCs w:val="24"/>
        </w:rPr>
      </w:pPr>
      <w:r>
        <w:rPr>
          <w:rFonts w:hint="eastAsia" w:ascii="宋体" w:hAnsi="宋体"/>
          <w:sz w:val="24"/>
          <w:szCs w:val="24"/>
        </w:rPr>
        <w:t>1、中标候选人信息：</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1"/>
        <w:gridCol w:w="5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960" w:type="pct"/>
            <w:vAlign w:val="center"/>
          </w:tcPr>
          <w:p>
            <w:pPr>
              <w:spacing w:line="360" w:lineRule="auto"/>
              <w:jc w:val="center"/>
              <w:rPr>
                <w:rFonts w:ascii="宋体" w:hAnsi="宋体"/>
                <w:sz w:val="24"/>
                <w:szCs w:val="24"/>
              </w:rPr>
            </w:pPr>
            <w:r>
              <w:rPr>
                <w:rFonts w:ascii="宋体" w:hAnsi="宋体"/>
                <w:sz w:val="24"/>
                <w:szCs w:val="24"/>
              </w:rPr>
              <w:t>中标候选人排名</w:t>
            </w:r>
          </w:p>
        </w:tc>
        <w:tc>
          <w:tcPr>
            <w:tcW w:w="3040" w:type="pct"/>
            <w:vAlign w:val="center"/>
          </w:tcPr>
          <w:p>
            <w:pPr>
              <w:spacing w:line="360" w:lineRule="auto"/>
              <w:jc w:val="center"/>
              <w:rPr>
                <w:rFonts w:ascii="宋体" w:hAnsi="宋体"/>
                <w:sz w:val="24"/>
                <w:szCs w:val="24"/>
              </w:rPr>
            </w:pPr>
            <w:r>
              <w:rPr>
                <w:rFonts w:ascii="宋体" w:hAnsi="宋体"/>
                <w:sz w:val="24"/>
                <w:szCs w:val="24"/>
              </w:rPr>
              <w:t>中标候选人名称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960" w:type="pct"/>
            <w:vAlign w:val="center"/>
          </w:tcPr>
          <w:p>
            <w:pPr>
              <w:spacing w:line="360" w:lineRule="auto"/>
              <w:jc w:val="center"/>
              <w:rPr>
                <w:rFonts w:ascii="宋体" w:hAnsi="宋体"/>
                <w:sz w:val="24"/>
                <w:szCs w:val="24"/>
              </w:rPr>
            </w:pPr>
            <w:r>
              <w:rPr>
                <w:rFonts w:ascii="宋体" w:hAnsi="宋体"/>
                <w:sz w:val="24"/>
                <w:szCs w:val="24"/>
              </w:rPr>
              <w:t>第一名</w:t>
            </w:r>
          </w:p>
        </w:tc>
        <w:tc>
          <w:tcPr>
            <w:tcW w:w="3040" w:type="pct"/>
            <w:vAlign w:val="center"/>
          </w:tcPr>
          <w:p>
            <w:pPr>
              <w:spacing w:line="360" w:lineRule="auto"/>
              <w:jc w:val="center"/>
              <w:rPr>
                <w:rFonts w:ascii="宋体" w:hAnsi="宋体"/>
                <w:sz w:val="24"/>
                <w:szCs w:val="24"/>
              </w:rPr>
            </w:pPr>
            <w:r>
              <w:rPr>
                <w:rFonts w:hint="eastAsia" w:cs="Times New Roman" w:asciiTheme="minorEastAsia" w:hAnsiTheme="minorEastAsia"/>
                <w:kern w:val="0"/>
                <w:sz w:val="24"/>
                <w:szCs w:val="24"/>
              </w:rPr>
              <w:t>中国移动通信集团广东有限公司佛山分公司</w:t>
            </w:r>
          </w:p>
        </w:tc>
      </w:tr>
    </w:tbl>
    <w:p>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、公示时间：202</w:t>
      </w:r>
      <w:r>
        <w:rPr>
          <w:rFonts w:ascii="宋体" w:hAnsi="宋体"/>
          <w:sz w:val="24"/>
          <w:szCs w:val="24"/>
        </w:rPr>
        <w:t>1</w:t>
      </w:r>
      <w:r>
        <w:rPr>
          <w:rFonts w:hint="eastAsia" w:ascii="宋体" w:hAnsi="宋体"/>
          <w:sz w:val="24"/>
          <w:szCs w:val="24"/>
        </w:rPr>
        <w:t>年</w:t>
      </w:r>
      <w:r>
        <w:rPr>
          <w:rFonts w:ascii="宋体" w:hAnsi="宋体"/>
          <w:sz w:val="24"/>
          <w:szCs w:val="24"/>
        </w:rPr>
        <w:t>8</w:t>
      </w:r>
      <w:r>
        <w:rPr>
          <w:rFonts w:hint="eastAsia" w:ascii="宋体" w:hAnsi="宋体"/>
          <w:sz w:val="24"/>
          <w:szCs w:val="24"/>
        </w:rPr>
        <w:t>月</w:t>
      </w:r>
      <w:r>
        <w:rPr>
          <w:rFonts w:ascii="宋体" w:hAnsi="宋体"/>
          <w:sz w:val="24"/>
          <w:szCs w:val="24"/>
        </w:rPr>
        <w:t>2</w:t>
      </w:r>
      <w:r>
        <w:rPr>
          <w:rFonts w:hint="eastAsia" w:ascii="宋体" w:hAnsi="宋体"/>
          <w:sz w:val="24"/>
          <w:szCs w:val="24"/>
          <w:lang w:val="en-US" w:eastAsia="zh-CN"/>
        </w:rPr>
        <w:t>6</w:t>
      </w:r>
      <w:r>
        <w:rPr>
          <w:rFonts w:hint="eastAsia" w:ascii="宋体" w:hAnsi="宋体"/>
          <w:sz w:val="24"/>
          <w:szCs w:val="24"/>
        </w:rPr>
        <w:t>日至202</w:t>
      </w:r>
      <w:r>
        <w:rPr>
          <w:rFonts w:ascii="宋体" w:hAnsi="宋体"/>
          <w:sz w:val="24"/>
          <w:szCs w:val="24"/>
        </w:rPr>
        <w:t>1</w:t>
      </w:r>
      <w:r>
        <w:rPr>
          <w:rFonts w:hint="eastAsia" w:ascii="宋体" w:hAnsi="宋体"/>
          <w:sz w:val="24"/>
          <w:szCs w:val="24"/>
        </w:rPr>
        <w:t>年</w:t>
      </w:r>
      <w:r>
        <w:rPr>
          <w:rFonts w:ascii="宋体" w:hAnsi="宋体"/>
          <w:sz w:val="24"/>
          <w:szCs w:val="24"/>
        </w:rPr>
        <w:t>8</w:t>
      </w:r>
      <w:r>
        <w:rPr>
          <w:rFonts w:hint="eastAsia" w:ascii="宋体" w:hAnsi="宋体"/>
          <w:sz w:val="24"/>
          <w:szCs w:val="24"/>
        </w:rPr>
        <w:t>月3</w:t>
      </w:r>
      <w:r>
        <w:rPr>
          <w:rFonts w:hint="eastAsia" w:ascii="宋体" w:hAnsi="宋体"/>
          <w:sz w:val="24"/>
          <w:szCs w:val="24"/>
          <w:lang w:val="en-US" w:eastAsia="zh-CN"/>
        </w:rPr>
        <w:t>1</w:t>
      </w:r>
      <w:r>
        <w:rPr>
          <w:rFonts w:hint="eastAsia" w:ascii="宋体" w:hAnsi="宋体"/>
          <w:sz w:val="24"/>
          <w:szCs w:val="24"/>
        </w:rPr>
        <w:t>日。</w:t>
      </w:r>
    </w:p>
    <w:p>
      <w:pPr>
        <w:spacing w:line="360" w:lineRule="auto"/>
        <w:ind w:firstLine="480" w:firstLineChars="200"/>
        <w:rPr>
          <w:rFonts w:ascii="宋体" w:hAnsi="宋体"/>
          <w:sz w:val="24"/>
          <w:szCs w:val="24"/>
        </w:rPr>
      </w:pPr>
      <w:r>
        <w:rPr>
          <w:rFonts w:hint="eastAsia" w:ascii="宋体" w:hAnsi="宋体"/>
          <w:sz w:val="24"/>
          <w:szCs w:val="24"/>
        </w:rPr>
        <w:t>特此公示。</w:t>
      </w:r>
    </w:p>
    <w:p>
      <w:pPr>
        <w:spacing w:line="360" w:lineRule="auto"/>
        <w:ind w:firstLine="480" w:firstLineChars="200"/>
        <w:rPr>
          <w:rFonts w:ascii="宋体" w:hAnsi="宋体"/>
          <w:sz w:val="24"/>
          <w:szCs w:val="24"/>
        </w:rPr>
      </w:pPr>
      <w:r>
        <w:rPr>
          <w:rFonts w:hint="eastAsia" w:ascii="宋体" w:hAnsi="宋体"/>
          <w:sz w:val="24"/>
          <w:szCs w:val="24"/>
        </w:rPr>
        <w:t>3、提出异议的渠道和方式：</w:t>
      </w:r>
    </w:p>
    <w:p>
      <w:pPr>
        <w:spacing w:line="360" w:lineRule="auto"/>
        <w:ind w:firstLine="480" w:firstLineChars="200"/>
        <w:rPr>
          <w:rFonts w:ascii="宋体" w:hAnsi="宋体"/>
          <w:sz w:val="24"/>
          <w:szCs w:val="24"/>
        </w:rPr>
      </w:pPr>
      <w:r>
        <w:rPr>
          <w:rFonts w:hint="eastAsia" w:ascii="宋体" w:hAnsi="宋体"/>
          <w:sz w:val="24"/>
          <w:szCs w:val="24"/>
        </w:rPr>
        <w:t>公示期间，供应商或其他利害关系人对中标候选人有异议的，请以书面形式加盖单位公章后以纸质文件的方式向采购代理机构提出，逾期则不予受理。</w:t>
      </w:r>
    </w:p>
    <w:p>
      <w:pPr>
        <w:spacing w:line="360" w:lineRule="auto"/>
        <w:ind w:firstLine="480" w:firstLineChars="200"/>
        <w:rPr>
          <w:rFonts w:ascii="宋体" w:hAnsi="宋体"/>
          <w:sz w:val="24"/>
          <w:szCs w:val="24"/>
        </w:rPr>
      </w:pPr>
    </w:p>
    <w:p>
      <w:pPr>
        <w:spacing w:line="360" w:lineRule="auto"/>
        <w:ind w:firstLine="3828" w:firstLineChars="1595"/>
        <w:rPr>
          <w:rFonts w:ascii="宋体" w:hAnsi="宋体"/>
          <w:sz w:val="24"/>
          <w:szCs w:val="24"/>
        </w:rPr>
      </w:pPr>
      <w:r>
        <w:rPr>
          <w:rFonts w:hint="eastAsia" w:ascii="宋体" w:hAnsi="宋体"/>
          <w:sz w:val="24"/>
          <w:szCs w:val="24"/>
        </w:rPr>
        <w:t>采购代理机构：广州穗科建设管理有限公司</w:t>
      </w:r>
    </w:p>
    <w:p>
      <w:pPr>
        <w:spacing w:line="360" w:lineRule="auto"/>
        <w:ind w:firstLine="3828" w:firstLineChars="1595"/>
        <w:rPr>
          <w:rFonts w:ascii="宋体" w:hAnsi="宋体"/>
          <w:sz w:val="24"/>
          <w:szCs w:val="24"/>
        </w:rPr>
      </w:pPr>
      <w:r>
        <w:rPr>
          <w:rFonts w:hint="eastAsia" w:ascii="宋体" w:hAnsi="宋体"/>
          <w:sz w:val="24"/>
          <w:szCs w:val="24"/>
        </w:rPr>
        <w:t>日期：2021年 8 月 2</w:t>
      </w:r>
      <w:r>
        <w:rPr>
          <w:rFonts w:hint="eastAsia" w:ascii="宋体" w:hAnsi="宋体"/>
          <w:sz w:val="24"/>
          <w:szCs w:val="24"/>
          <w:lang w:val="en-US" w:eastAsia="zh-CN"/>
        </w:rPr>
        <w:t>6</w:t>
      </w:r>
      <w:r>
        <w:rPr>
          <w:rFonts w:hint="eastAsia" w:ascii="宋体" w:hAnsi="宋体"/>
          <w:sz w:val="24"/>
          <w:szCs w:val="24"/>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A8A"/>
    <w:rsid w:val="00001C0F"/>
    <w:rsid w:val="00031AF0"/>
    <w:rsid w:val="000522FB"/>
    <w:rsid w:val="00055CA0"/>
    <w:rsid w:val="00063EA8"/>
    <w:rsid w:val="00093F55"/>
    <w:rsid w:val="000C0D9C"/>
    <w:rsid w:val="000F433A"/>
    <w:rsid w:val="000F6326"/>
    <w:rsid w:val="00135423"/>
    <w:rsid w:val="00167651"/>
    <w:rsid w:val="00197C2F"/>
    <w:rsid w:val="001A67BF"/>
    <w:rsid w:val="00231355"/>
    <w:rsid w:val="00237CD5"/>
    <w:rsid w:val="00246909"/>
    <w:rsid w:val="00247326"/>
    <w:rsid w:val="00255DA8"/>
    <w:rsid w:val="002B35FD"/>
    <w:rsid w:val="002B39F8"/>
    <w:rsid w:val="002B7ABD"/>
    <w:rsid w:val="002C326D"/>
    <w:rsid w:val="002C7E36"/>
    <w:rsid w:val="002D4907"/>
    <w:rsid w:val="002E0183"/>
    <w:rsid w:val="002E06F3"/>
    <w:rsid w:val="002E736F"/>
    <w:rsid w:val="00325033"/>
    <w:rsid w:val="00330899"/>
    <w:rsid w:val="00343F16"/>
    <w:rsid w:val="00357E45"/>
    <w:rsid w:val="003607E1"/>
    <w:rsid w:val="00366204"/>
    <w:rsid w:val="003767DE"/>
    <w:rsid w:val="00385417"/>
    <w:rsid w:val="00395AAB"/>
    <w:rsid w:val="003C39C3"/>
    <w:rsid w:val="003E1F0D"/>
    <w:rsid w:val="003F05F1"/>
    <w:rsid w:val="003F15F1"/>
    <w:rsid w:val="00435991"/>
    <w:rsid w:val="004642A1"/>
    <w:rsid w:val="004672DF"/>
    <w:rsid w:val="00475B05"/>
    <w:rsid w:val="0049300B"/>
    <w:rsid w:val="00496ACB"/>
    <w:rsid w:val="004B686C"/>
    <w:rsid w:val="004C3779"/>
    <w:rsid w:val="004F0703"/>
    <w:rsid w:val="004F30F2"/>
    <w:rsid w:val="00537173"/>
    <w:rsid w:val="00544F20"/>
    <w:rsid w:val="00555CA6"/>
    <w:rsid w:val="005842D3"/>
    <w:rsid w:val="005B3458"/>
    <w:rsid w:val="005D076D"/>
    <w:rsid w:val="005F27EF"/>
    <w:rsid w:val="00607A93"/>
    <w:rsid w:val="0061001B"/>
    <w:rsid w:val="00626739"/>
    <w:rsid w:val="00637D98"/>
    <w:rsid w:val="006938DF"/>
    <w:rsid w:val="006C2C87"/>
    <w:rsid w:val="006C7382"/>
    <w:rsid w:val="006D4292"/>
    <w:rsid w:val="00714602"/>
    <w:rsid w:val="00745744"/>
    <w:rsid w:val="00746A41"/>
    <w:rsid w:val="007536E1"/>
    <w:rsid w:val="00771D9B"/>
    <w:rsid w:val="007751EA"/>
    <w:rsid w:val="007A1EFB"/>
    <w:rsid w:val="007B7213"/>
    <w:rsid w:val="007E284F"/>
    <w:rsid w:val="007F287E"/>
    <w:rsid w:val="00810AF5"/>
    <w:rsid w:val="00817C50"/>
    <w:rsid w:val="00820112"/>
    <w:rsid w:val="0086159C"/>
    <w:rsid w:val="008702FA"/>
    <w:rsid w:val="0087325E"/>
    <w:rsid w:val="008B7E22"/>
    <w:rsid w:val="008D069D"/>
    <w:rsid w:val="008E13B4"/>
    <w:rsid w:val="008F449C"/>
    <w:rsid w:val="00914D2E"/>
    <w:rsid w:val="0091513A"/>
    <w:rsid w:val="00922368"/>
    <w:rsid w:val="0096159F"/>
    <w:rsid w:val="00993B62"/>
    <w:rsid w:val="009B2D54"/>
    <w:rsid w:val="009B7240"/>
    <w:rsid w:val="009D03BD"/>
    <w:rsid w:val="009D2589"/>
    <w:rsid w:val="009F16B3"/>
    <w:rsid w:val="00A0534E"/>
    <w:rsid w:val="00A06AE5"/>
    <w:rsid w:val="00A11171"/>
    <w:rsid w:val="00A16F27"/>
    <w:rsid w:val="00A25CFC"/>
    <w:rsid w:val="00A26985"/>
    <w:rsid w:val="00A64769"/>
    <w:rsid w:val="00A80531"/>
    <w:rsid w:val="00AB0D0C"/>
    <w:rsid w:val="00AF7908"/>
    <w:rsid w:val="00B126F8"/>
    <w:rsid w:val="00B50BB9"/>
    <w:rsid w:val="00B5708A"/>
    <w:rsid w:val="00B60A8A"/>
    <w:rsid w:val="00B61575"/>
    <w:rsid w:val="00B64E52"/>
    <w:rsid w:val="00B86058"/>
    <w:rsid w:val="00B91464"/>
    <w:rsid w:val="00BC16E4"/>
    <w:rsid w:val="00C234E4"/>
    <w:rsid w:val="00C26AAF"/>
    <w:rsid w:val="00C34905"/>
    <w:rsid w:val="00CE6B13"/>
    <w:rsid w:val="00D25CA9"/>
    <w:rsid w:val="00D300E9"/>
    <w:rsid w:val="00D46E56"/>
    <w:rsid w:val="00D553D8"/>
    <w:rsid w:val="00D62142"/>
    <w:rsid w:val="00D77BD8"/>
    <w:rsid w:val="00DA0216"/>
    <w:rsid w:val="00DC206F"/>
    <w:rsid w:val="00E07163"/>
    <w:rsid w:val="00E2579A"/>
    <w:rsid w:val="00E326D7"/>
    <w:rsid w:val="00E80034"/>
    <w:rsid w:val="00E90013"/>
    <w:rsid w:val="00EA3803"/>
    <w:rsid w:val="00EB3778"/>
    <w:rsid w:val="00EC2544"/>
    <w:rsid w:val="00EE7AA3"/>
    <w:rsid w:val="00EF692D"/>
    <w:rsid w:val="00EF73C2"/>
    <w:rsid w:val="00F5726F"/>
    <w:rsid w:val="00F73E05"/>
    <w:rsid w:val="00F76D16"/>
    <w:rsid w:val="00F8605A"/>
    <w:rsid w:val="00FB6905"/>
    <w:rsid w:val="00FC2F14"/>
    <w:rsid w:val="00FF2423"/>
    <w:rsid w:val="119176F5"/>
    <w:rsid w:val="19B60B25"/>
    <w:rsid w:val="2E5B23D6"/>
    <w:rsid w:val="4A293E47"/>
    <w:rsid w:val="4F3D1E8F"/>
    <w:rsid w:val="5A6264BE"/>
    <w:rsid w:val="5D8A2EEB"/>
    <w:rsid w:val="5EFC5915"/>
    <w:rsid w:val="62CE641B"/>
    <w:rsid w:val="70917619"/>
    <w:rsid w:val="739B6B30"/>
    <w:rsid w:val="74673E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rFonts w:asciiTheme="minorHAnsi" w:hAnsiTheme="minorHAnsi" w:eastAsiaTheme="minorEastAsia"/>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semiHidden/>
    <w:unhideWhenUsed/>
    <w:qFormat/>
    <w:uiPriority w:val="99"/>
    <w:rPr>
      <w:rFonts w:ascii="宋体"/>
      <w:sz w:val="18"/>
      <w:szCs w:val="18"/>
    </w:rPr>
  </w:style>
  <w:style w:type="paragraph" w:styleId="5">
    <w:name w:val="annotation text"/>
    <w:basedOn w:val="1"/>
    <w:link w:val="21"/>
    <w:semiHidden/>
    <w:unhideWhenUsed/>
    <w:qFormat/>
    <w:uiPriority w:val="99"/>
    <w:pPr>
      <w:jc w:val="left"/>
    </w:pPr>
  </w:style>
  <w:style w:type="paragraph" w:styleId="6">
    <w:name w:val="Balloon Text"/>
    <w:basedOn w:val="1"/>
    <w:link w:val="23"/>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5"/>
    <w:next w:val="5"/>
    <w:link w:val="22"/>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paragraph" w:customStyle="1" w:styleId="15">
    <w:name w:val="样式1"/>
    <w:basedOn w:val="2"/>
    <w:qFormat/>
    <w:uiPriority w:val="0"/>
    <w:rPr>
      <w:rFonts w:ascii="Calibri" w:hAnsi="Calibri" w:eastAsia="宋体"/>
    </w:rPr>
  </w:style>
  <w:style w:type="character" w:customStyle="1" w:styleId="16">
    <w:name w:val="标题 1 字符"/>
    <w:basedOn w:val="13"/>
    <w:link w:val="2"/>
    <w:qFormat/>
    <w:uiPriority w:val="9"/>
    <w:rPr>
      <w:b/>
      <w:bCs/>
      <w:kern w:val="44"/>
      <w:sz w:val="44"/>
      <w:szCs w:val="44"/>
    </w:rPr>
  </w:style>
  <w:style w:type="paragraph" w:customStyle="1" w:styleId="17">
    <w:name w:val="样式2"/>
    <w:basedOn w:val="15"/>
    <w:qFormat/>
    <w:uiPriority w:val="0"/>
    <w:rPr>
      <w:b w:val="0"/>
    </w:rPr>
  </w:style>
  <w:style w:type="character" w:customStyle="1" w:styleId="18">
    <w:name w:val="标题 2 字符"/>
    <w:basedOn w:val="13"/>
    <w:link w:val="3"/>
    <w:qFormat/>
    <w:uiPriority w:val="9"/>
    <w:rPr>
      <w:rFonts w:asciiTheme="majorHAnsi" w:hAnsiTheme="majorHAnsi" w:eastAsiaTheme="majorEastAsia" w:cstheme="majorBidi"/>
      <w:b/>
      <w:bCs/>
      <w:sz w:val="32"/>
      <w:szCs w:val="32"/>
    </w:rPr>
  </w:style>
  <w:style w:type="character" w:customStyle="1" w:styleId="19">
    <w:name w:val="页眉 字符"/>
    <w:basedOn w:val="13"/>
    <w:link w:val="8"/>
    <w:qFormat/>
    <w:uiPriority w:val="99"/>
    <w:rPr>
      <w:rFonts w:ascii="Calibri" w:hAnsi="Calibri" w:eastAsia="宋体"/>
      <w:sz w:val="18"/>
      <w:szCs w:val="18"/>
    </w:rPr>
  </w:style>
  <w:style w:type="character" w:customStyle="1" w:styleId="20">
    <w:name w:val="页脚 字符"/>
    <w:basedOn w:val="13"/>
    <w:link w:val="7"/>
    <w:qFormat/>
    <w:uiPriority w:val="99"/>
    <w:rPr>
      <w:rFonts w:ascii="Calibri" w:hAnsi="Calibri" w:eastAsia="宋体"/>
      <w:sz w:val="18"/>
      <w:szCs w:val="18"/>
    </w:rPr>
  </w:style>
  <w:style w:type="character" w:customStyle="1" w:styleId="21">
    <w:name w:val="批注文字 字符"/>
    <w:basedOn w:val="13"/>
    <w:link w:val="5"/>
    <w:semiHidden/>
    <w:qFormat/>
    <w:uiPriority w:val="99"/>
    <w:rPr>
      <w:rFonts w:ascii="Calibri" w:hAnsi="Calibri" w:eastAsia="宋体"/>
    </w:rPr>
  </w:style>
  <w:style w:type="character" w:customStyle="1" w:styleId="22">
    <w:name w:val="批注主题 字符"/>
    <w:basedOn w:val="21"/>
    <w:link w:val="10"/>
    <w:semiHidden/>
    <w:qFormat/>
    <w:uiPriority w:val="99"/>
    <w:rPr>
      <w:rFonts w:ascii="Calibri" w:hAnsi="Calibri" w:eastAsia="宋体"/>
      <w:b/>
      <w:bCs/>
    </w:rPr>
  </w:style>
  <w:style w:type="character" w:customStyle="1" w:styleId="23">
    <w:name w:val="批注框文本 字符"/>
    <w:basedOn w:val="13"/>
    <w:link w:val="6"/>
    <w:semiHidden/>
    <w:qFormat/>
    <w:uiPriority w:val="99"/>
    <w:rPr>
      <w:rFonts w:ascii="Calibri" w:hAnsi="Calibri" w:eastAsia="宋体"/>
      <w:sz w:val="18"/>
      <w:szCs w:val="18"/>
    </w:rPr>
  </w:style>
  <w:style w:type="character" w:customStyle="1" w:styleId="24">
    <w:name w:val="文档结构图 字符"/>
    <w:basedOn w:val="13"/>
    <w:link w:val="4"/>
    <w:semiHidden/>
    <w:qFormat/>
    <w:uiPriority w:val="99"/>
    <w:rPr>
      <w:rFonts w:ascii="宋体" w:hAnsi="Calibri"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行云流水">
  <a:themeElements>
    <a:clrScheme name="行云流水">
      <a:dk1>
        <a:sysClr val="windowText" lastClr="000000"/>
      </a:dk1>
      <a:lt1>
        <a:sysClr val="window" lastClr="FFFFFF"/>
      </a:lt1>
      <a:dk2>
        <a:srgbClr val="411401"/>
      </a:dk2>
      <a:lt2>
        <a:srgbClr val="FFE6E6"/>
      </a:lt2>
      <a:accent1>
        <a:srgbClr val="A24A48"/>
      </a:accent1>
      <a:accent2>
        <a:srgbClr val="B2935C"/>
      </a:accent2>
      <a:accent3>
        <a:srgbClr val="6A9A9A"/>
      </a:accent3>
      <a:accent4>
        <a:srgbClr val="B2B787"/>
      </a:accent4>
      <a:accent5>
        <a:srgbClr val="91644B"/>
      </a:accent5>
      <a:accent6>
        <a:srgbClr val="654A76"/>
      </a:accent6>
      <a:hlink>
        <a:srgbClr val="00A800"/>
      </a:hlink>
      <a:folHlink>
        <a:srgbClr val="FF00FF"/>
      </a:folHlink>
    </a:clrScheme>
    <a:fontScheme name="行云流水">
      <a:majorFont>
        <a:latin typeface="Cambria"/>
        <a:ea typeface=""/>
        <a:cs typeface=""/>
        <a:font script="Jpan" typeface="ＭＳ Ｐゴシック"/>
        <a:font script="Hang" typeface="맑은 고딕"/>
        <a:font script="Hans" typeface="华文行楷"/>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明朝"/>
        <a:font script="Hang" typeface="HY견명조"/>
        <a:font script="Hans" typeface="华文行楷"/>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行云流水">
      <a:fillStyleLst>
        <a:solidFill>
          <a:schemeClr val="phClr"/>
        </a:solidFill>
        <a:gradFill rotWithShape="1">
          <a:gsLst>
            <a:gs pos="0">
              <a:schemeClr val="phClr">
                <a:tint val="90000"/>
                <a:satMod val="130000"/>
              </a:schemeClr>
            </a:gs>
            <a:gs pos="50000">
              <a:schemeClr val="phClr">
                <a:tint val="45000"/>
                <a:satMod val="220000"/>
              </a:schemeClr>
            </a:gs>
            <a:gs pos="100000">
              <a:schemeClr val="phClr">
                <a:tint val="90000"/>
                <a:satMod val="130000"/>
              </a:schemeClr>
            </a:gs>
          </a:gsLst>
          <a:lin ang="5400000" scaled="1"/>
        </a:gradFill>
        <a:gradFill rotWithShape="1">
          <a:gsLst>
            <a:gs pos="0">
              <a:schemeClr val="phClr">
                <a:tint val="100000"/>
                <a:shade val="90000"/>
                <a:hueMod val="100000"/>
                <a:satMod val="200000"/>
              </a:schemeClr>
            </a:gs>
            <a:gs pos="50000">
              <a:schemeClr val="phClr">
                <a:tint val="100000"/>
                <a:shade val="60000"/>
                <a:hueMod val="100000"/>
                <a:satMod val="180000"/>
              </a:schemeClr>
            </a:gs>
            <a:gs pos="100000">
              <a:schemeClr val="phClr">
                <a:tint val="100000"/>
                <a:shade val="90000"/>
                <a:hueMod val="100000"/>
                <a:satMod val="200000"/>
              </a:schemeClr>
            </a:gs>
          </a:gsLst>
          <a:lin ang="5400000" scaled="1"/>
        </a:gradFill>
      </a:fillStyleLst>
      <a:lnStyleLst>
        <a:ln w="12700" cap="flat" cmpd="sng" algn="ctr">
          <a:solidFill>
            <a:schemeClr val="phClr"/>
          </a:solidFill>
          <a:prstDash val="solid"/>
        </a:ln>
        <a:ln w="25400" cap="flat" cmpd="sng" algn="ctr">
          <a:solidFill>
            <a:schemeClr val="phClr"/>
          </a:solidFill>
          <a:prstDash val="solid"/>
        </a:ln>
        <a:ln w="38100" cap="flat" cmpd="dbl" algn="ctr">
          <a:solidFill>
            <a:schemeClr val="phClr"/>
          </a:solidFill>
          <a:prstDash val="solid"/>
        </a:ln>
      </a:lnStyleLst>
      <a:effectStyleLst>
        <a:effectStyle>
          <a:effectLst>
            <a:glow rad="50600">
              <a:schemeClr val="phClr">
                <a:alpha val="40000"/>
              </a:schemeClr>
            </a:glow>
          </a:effectLst>
        </a:effectStyle>
        <a:effectStyle>
          <a:effectLst>
            <a:glow rad="101600">
              <a:schemeClr val="phClr">
                <a:alpha val="60000"/>
              </a:schemeClr>
            </a:glow>
          </a:effectLst>
          <a:scene3d>
            <a:camera prst="isometricLeftDown" fov="0">
              <a:rot lat="0" lon="0" rev="0"/>
            </a:camera>
            <a:lightRig rig="harsh" dir="tl">
              <a:rot lat="0" lon="0" rev="14280000"/>
            </a:lightRig>
          </a:scene3d>
          <a:sp3d prstMaterial="flat">
            <a:bevelT w="38100" h="50800" prst="softRound"/>
          </a:sp3d>
        </a:effectStyle>
        <a:effectStyle>
          <a:effectLst>
            <a:glow>
              <a:schemeClr val="phClr"/>
            </a:glow>
          </a:effectLst>
          <a:scene3d>
            <a:camera prst="isometricLeftDown">
              <a:rot lat="0" lon="0" rev="0"/>
            </a:camera>
            <a:lightRig rig="harsh" dir="tl">
              <a:rot lat="0" lon="0" rev="14280000"/>
            </a:lightRig>
          </a:scene3d>
          <a:sp3d extrusionH="63500" contourW="38100" prstMaterial="flat">
            <a:bevelT w="50800" h="63500" prst="softRound"/>
            <a:contourClr>
              <a:schemeClr val="phClr">
                <a:tint val="5"/>
                <a:satMod val="130000"/>
              </a:schemeClr>
            </a:contourClr>
          </a:sp3d>
        </a:effectStyle>
      </a:effectStyleLst>
      <a:bgFillStyleLst>
        <a:solidFill>
          <a:schemeClr val="phClr"/>
        </a:solidFill>
        <a:gradFill rotWithShape="1">
          <a:gsLst>
            <a:gs pos="0">
              <a:schemeClr val="phClr">
                <a:tint val="100000"/>
                <a:shade val="80000"/>
                <a:hueMod val="100000"/>
                <a:satMod val="300000"/>
              </a:schemeClr>
            </a:gs>
            <a:gs pos="72000">
              <a:schemeClr val="phClr">
                <a:tint val="100000"/>
                <a:shade val="100000"/>
                <a:hueMod val="100000"/>
                <a:satMod val="100000"/>
              </a:schemeClr>
            </a:gs>
            <a:gs pos="81000">
              <a:schemeClr val="phClr">
                <a:tint val="98000"/>
                <a:shade val="100000"/>
                <a:hueMod val="100000"/>
                <a:satMod val="150000"/>
              </a:schemeClr>
            </a:gs>
            <a:gs pos="100000">
              <a:schemeClr val="phClr">
                <a:tint val="100000"/>
                <a:shade val="100000"/>
                <a:hueMod val="100000"/>
                <a:satMod val="200000"/>
              </a:schemeClr>
            </a:gs>
          </a:gsLst>
          <a:lin ang="16200000" scaled="1"/>
        </a:gradFill>
        <a:blipFill>
          <a:blip xmlns:r="http://schemas.openxmlformats.org/officeDocument/2006/relationships" r:embed="rId1">
            <a:duotone>
              <a:schemeClr val="phClr">
                <a:tint val="100000"/>
                <a:shade val="39000"/>
                <a:hueMod val="100000"/>
                <a:satMod val="150000"/>
              </a:schemeClr>
              <a:schemeClr val="phClr">
                <a:tint val="90000"/>
                <a:shade val="100000"/>
                <a:hueMod val="100000"/>
                <a:satMod val="120000"/>
              </a:schemeClr>
            </a:duotone>
          </a:blip>
          <a:stretch>
            <a:fillRect/>
          </a:stretch>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57</Words>
  <Characters>329</Characters>
  <Lines>2</Lines>
  <Paragraphs>1</Paragraphs>
  <TotalTime>3</TotalTime>
  <ScaleCrop>false</ScaleCrop>
  <LinksUpToDate>false</LinksUpToDate>
  <CharactersWithSpaces>385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2018-08-02T08:49:00Z</dcterms:created>
  <dc:creator>admin</dc:creator>
  <cp:lastModifiedBy>Lillian</cp:lastModifiedBy>
  <cp:lastPrinted>2018-02-05T02:26:00Z</cp:lastPrinted>
  <dcterms:modified xsi:type="dcterms:W3CDTF">2021-08-30T07:25:23Z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C8B4E9CDDA1E4814AE806BD4279FB397</vt:lpwstr>
  </property>
</Properties>
</file>