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highlight w:val="none"/>
        </w:rPr>
      </w:pPr>
    </w:p>
    <w:p>
      <w:pPr>
        <w:rPr>
          <w:rFonts w:hint="eastAsia"/>
          <w:highlight w:val="none"/>
        </w:rPr>
      </w:pPr>
    </w:p>
    <w:p>
      <w:pPr>
        <w:adjustRightInd w:val="0"/>
        <w:snapToGrid w:val="0"/>
        <w:ind w:left="851" w:hanging="851"/>
        <w:jc w:val="center"/>
        <w:rPr>
          <w:rFonts w:ascii="宋体" w:hAnsi="宋体"/>
          <w:b/>
          <w:sz w:val="44"/>
          <w:highlight w:val="none"/>
        </w:rPr>
      </w:pPr>
    </w:p>
    <w:p>
      <w:pPr>
        <w:adjustRightInd w:val="0"/>
        <w:snapToGrid w:val="0"/>
        <w:spacing w:line="360" w:lineRule="auto"/>
        <w:ind w:left="851" w:hanging="851"/>
        <w:jc w:val="center"/>
        <w:rPr>
          <w:rFonts w:hint="eastAsia" w:ascii="宋体" w:hAnsi="宋体"/>
          <w:b/>
          <w:sz w:val="44"/>
          <w:highlight w:val="none"/>
        </w:rPr>
      </w:pPr>
      <w:bookmarkStart w:id="1" w:name="_GoBack"/>
      <w:r>
        <w:rPr>
          <w:rFonts w:hint="eastAsia" w:ascii="宋体" w:hAnsi="宋体"/>
          <w:b/>
          <w:sz w:val="44"/>
          <w:highlight w:val="none"/>
        </w:rPr>
        <w:t>用 户 需 求 书</w:t>
      </w:r>
      <w:bookmarkEnd w:id="1"/>
    </w:p>
    <w:p>
      <w:pPr>
        <w:adjustRightInd w:val="0"/>
        <w:snapToGrid w:val="0"/>
        <w:spacing w:line="360" w:lineRule="auto"/>
        <w:ind w:firstLine="420" w:firstLineChars="200"/>
        <w:rPr>
          <w:rFonts w:hint="eastAsia" w:ascii="宋体" w:hAnsi="宋体"/>
          <w:color w:val="auto"/>
          <w:szCs w:val="21"/>
          <w:highlight w:val="none"/>
        </w:rPr>
      </w:pPr>
    </w:p>
    <w:p>
      <w:pPr>
        <w:spacing w:line="360" w:lineRule="auto"/>
        <w:ind w:firstLine="530" w:firstLineChars="221"/>
        <w:rPr>
          <w:rFonts w:hint="eastAsia" w:ascii="宋体" w:hAnsi="宋体" w:cs="宋体"/>
          <w:bCs/>
          <w:sz w:val="24"/>
          <w:szCs w:val="24"/>
          <w:highlight w:val="none"/>
        </w:rPr>
      </w:pPr>
    </w:p>
    <w:p>
      <w:pPr>
        <w:adjustRightInd w:val="0"/>
        <w:snapToGrid w:val="0"/>
        <w:spacing w:line="360" w:lineRule="auto"/>
        <w:ind w:firstLine="420" w:firstLineChars="200"/>
        <w:rPr>
          <w:rFonts w:hint="eastAsia" w:ascii="宋体" w:hAnsi="宋体"/>
          <w:szCs w:val="21"/>
          <w:highlight w:val="none"/>
        </w:rPr>
      </w:pPr>
    </w:p>
    <w:p>
      <w:pPr>
        <w:adjustRightInd w:val="0"/>
        <w:snapToGrid w:val="0"/>
        <w:spacing w:line="360" w:lineRule="auto"/>
        <w:ind w:firstLine="420" w:firstLineChars="200"/>
        <w:rPr>
          <w:rFonts w:hint="eastAsia" w:ascii="宋体" w:hAnsi="宋体"/>
          <w:szCs w:val="21"/>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pStyle w:val="5"/>
        <w:rPr>
          <w:rFonts w:hint="eastAsia" w:ascii="宋体" w:hAnsi="宋体"/>
          <w:highlight w:val="none"/>
        </w:rPr>
      </w:pPr>
    </w:p>
    <w:p>
      <w:pPr>
        <w:pStyle w:val="5"/>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rPr>
          <w:rFonts w:hint="eastAsia" w:ascii="宋体" w:hAnsi="宋体"/>
          <w:highlight w:val="none"/>
        </w:rPr>
      </w:pPr>
    </w:p>
    <w:p>
      <w:pPr>
        <w:spacing w:line="360" w:lineRule="auto"/>
        <w:ind w:firstLine="480" w:firstLineChars="200"/>
        <w:rPr>
          <w:rFonts w:hint="eastAsia" w:ascii="宋体" w:hAnsi="宋体" w:eastAsia="宋体" w:cs="宋体"/>
          <w:sz w:val="24"/>
        </w:rPr>
      </w:pPr>
      <w:bookmarkStart w:id="0" w:name="_Toc385940873"/>
      <w:r>
        <w:rPr>
          <w:rFonts w:hint="eastAsia" w:ascii="宋体" w:hAnsi="宋体" w:eastAsia="宋体" w:cs="宋体"/>
          <w:sz w:val="24"/>
        </w:rPr>
        <w:t>汕头大学医学院第一附属医院为确保设备稳定运行及科室业务正常开展，需要对22台德尔格医疗设备的维保进行采购，由</w:t>
      </w:r>
      <w:r>
        <w:rPr>
          <w:rFonts w:hint="eastAsia" w:ascii="宋体" w:hAnsi="宋体" w:eastAsia="宋体" w:cs="宋体"/>
          <w:sz w:val="24"/>
          <w:lang w:eastAsia="zh-CN"/>
        </w:rPr>
        <w:t>成交</w:t>
      </w:r>
      <w:r>
        <w:rPr>
          <w:rFonts w:hint="eastAsia" w:ascii="宋体" w:hAnsi="宋体" w:eastAsia="宋体" w:cs="宋体"/>
          <w:sz w:val="24"/>
        </w:rPr>
        <w:t>服务商负责对设备进行后续的维保服务工作。</w:t>
      </w:r>
    </w:p>
    <w:p>
      <w:pPr>
        <w:numPr>
          <w:ilvl w:val="0"/>
          <w:numId w:val="1"/>
        </w:numPr>
        <w:ind w:firstLine="0"/>
        <w:rPr>
          <w:rFonts w:hint="eastAsia" w:ascii="宋体" w:hAnsi="宋体" w:eastAsia="宋体" w:cs="宋体"/>
          <w:b/>
          <w:bCs/>
          <w:sz w:val="28"/>
          <w:szCs w:val="36"/>
        </w:rPr>
      </w:pPr>
      <w:r>
        <w:rPr>
          <w:rFonts w:hint="eastAsia" w:ascii="宋体" w:hAnsi="宋体" w:eastAsia="宋体" w:cs="宋体"/>
          <w:b/>
          <w:bCs/>
          <w:sz w:val="28"/>
          <w:szCs w:val="36"/>
        </w:rPr>
        <w:t>主要商务要求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1、服务期限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本项目服务期限为24个月，自合同签订之日起计。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2、付款方式</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（1）付款方式：本项目服务期限共 2年，按半年</w:t>
      </w:r>
      <w:r>
        <w:rPr>
          <w:rFonts w:hint="eastAsia" w:ascii="宋体" w:hAnsi="宋体" w:eastAsia="宋体" w:cs="宋体"/>
          <w:sz w:val="24"/>
          <w:lang w:val="en-US" w:eastAsia="zh-CN"/>
        </w:rPr>
        <w:t>支付服务费用，共分四期付款，在合同履行期内每满6个月，乙方向甲方提供维保报告和合同总价金额的四分之一的发票（技术服务费的增值税普通发票），甲方在收到有效票据后向乙方支付相应款项。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（2）验收要求：根据</w:t>
      </w:r>
      <w:r>
        <w:rPr>
          <w:rFonts w:hint="eastAsia" w:ascii="宋体" w:hAnsi="宋体" w:eastAsia="宋体" w:cs="宋体"/>
          <w:sz w:val="24"/>
          <w:lang w:eastAsia="zh-CN"/>
        </w:rPr>
        <w:t>成交供应商</w:t>
      </w:r>
      <w:r>
        <w:rPr>
          <w:rFonts w:hint="eastAsia" w:ascii="宋体" w:hAnsi="宋体" w:eastAsia="宋体" w:cs="宋体"/>
          <w:sz w:val="24"/>
        </w:rPr>
        <w:t>的投标承诺及行业标准、国家标准进行验收。</w:t>
      </w:r>
    </w:p>
    <w:bookmarkEnd w:id="0"/>
    <w:p>
      <w:pPr>
        <w:numPr>
          <w:ilvl w:val="0"/>
          <w:numId w:val="1"/>
        </w:numPr>
        <w:ind w:firstLine="0"/>
        <w:rPr>
          <w:rFonts w:hint="eastAsia" w:ascii="宋体" w:hAnsi="宋体" w:eastAsia="宋体" w:cs="宋体"/>
          <w:b/>
          <w:bCs/>
          <w:sz w:val="28"/>
          <w:szCs w:val="36"/>
        </w:rPr>
      </w:pPr>
      <w:r>
        <w:rPr>
          <w:rFonts w:hint="eastAsia" w:ascii="宋体" w:hAnsi="宋体" w:eastAsia="宋体" w:cs="宋体"/>
          <w:b/>
          <w:bCs/>
          <w:sz w:val="28"/>
          <w:szCs w:val="36"/>
        </w:rPr>
        <w:t>服务要求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1、实现的目标</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中标人须对采购人院内的相关设备（详见下表《维保设备明细表》）进行整机维修保养服务和高效管理。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2、服务范围</w:t>
      </w:r>
    </w:p>
    <w:p>
      <w:pPr>
        <w:numPr>
          <w:ilvl w:val="0"/>
          <w:numId w:val="2"/>
        </w:num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设备维保价格</w:t>
      </w:r>
    </w:p>
    <w:tbl>
      <w:tblPr>
        <w:tblStyle w:val="3"/>
        <w:tblW w:w="85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8"/>
        <w:gridCol w:w="1646"/>
        <w:gridCol w:w="1898"/>
        <w:gridCol w:w="1522"/>
        <w:gridCol w:w="1497"/>
        <w:gridCol w:w="14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Header/>
          <w:jc w:val="center"/>
        </w:trPr>
        <w:tc>
          <w:tcPr>
            <w:tcW w:w="568"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 w:val="22"/>
              </w:rPr>
              <w:t>序号</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 w:val="22"/>
              </w:rPr>
              <w:t>品目名称</w:t>
            </w:r>
          </w:p>
        </w:tc>
        <w:tc>
          <w:tcPr>
            <w:tcW w:w="1898"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 w:val="22"/>
              </w:rPr>
              <w:t>标的名称</w:t>
            </w:r>
          </w:p>
        </w:tc>
        <w:tc>
          <w:tcPr>
            <w:tcW w:w="1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Cs w:val="21"/>
              </w:rPr>
              <w:t>预算总价（万元）</w:t>
            </w:r>
          </w:p>
        </w:tc>
        <w:tc>
          <w:tcPr>
            <w:tcW w:w="149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 w:val="22"/>
              </w:rPr>
              <w:t>单价（万元/年）</w:t>
            </w:r>
          </w:p>
        </w:tc>
        <w:tc>
          <w:tcPr>
            <w:tcW w:w="140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eastAsia="宋体" w:cs="宋体"/>
                <w:kern w:val="0"/>
                <w:sz w:val="22"/>
              </w:rPr>
            </w:pPr>
            <w:r>
              <w:rPr>
                <w:rFonts w:hint="eastAsia" w:ascii="宋体" w:hAnsi="宋体" w:eastAsia="宋体" w:cs="宋体"/>
                <w:kern w:val="0"/>
                <w:sz w:val="22"/>
              </w:rPr>
              <w:t>维保时间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5" w:hRule="atLeast"/>
          <w:tblHeader/>
          <w:jc w:val="center"/>
        </w:trPr>
        <w:tc>
          <w:tcPr>
            <w:tcW w:w="568" w:type="dxa"/>
            <w:tcBorders>
              <w:top w:val="outset" w:color="auto" w:sz="6" w:space="0"/>
              <w:left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1</w:t>
            </w:r>
          </w:p>
        </w:tc>
        <w:tc>
          <w:tcPr>
            <w:tcW w:w="1646"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医疗设备维修和保养服务</w:t>
            </w:r>
          </w:p>
        </w:tc>
        <w:tc>
          <w:tcPr>
            <w:tcW w:w="1898"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德尔格呼吸机2年维保服务项目</w:t>
            </w:r>
          </w:p>
        </w:tc>
        <w:tc>
          <w:tcPr>
            <w:tcW w:w="1522"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45</w:t>
            </w:r>
          </w:p>
        </w:tc>
        <w:tc>
          <w:tcPr>
            <w:tcW w:w="1497"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22.5</w:t>
            </w:r>
          </w:p>
        </w:tc>
        <w:tc>
          <w:tcPr>
            <w:tcW w:w="1407" w:type="dxa"/>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宋体" w:hAnsi="宋体" w:eastAsia="宋体" w:cs="宋体"/>
                <w:kern w:val="0"/>
                <w:sz w:val="22"/>
              </w:rPr>
            </w:pPr>
            <w:r>
              <w:rPr>
                <w:rFonts w:hint="eastAsia" w:ascii="宋体" w:hAnsi="宋体" w:eastAsia="宋体" w:cs="宋体"/>
                <w:kern w:val="0"/>
                <w:sz w:val="22"/>
              </w:rPr>
              <w:t>2年</w:t>
            </w:r>
          </w:p>
        </w:tc>
      </w:tr>
    </w:tbl>
    <w:p>
      <w:pPr>
        <w:numPr>
          <w:ilvl w:val="0"/>
          <w:numId w:val="2"/>
        </w:num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22台德尔格</w:t>
      </w:r>
      <w:r>
        <w:rPr>
          <w:rFonts w:hint="eastAsia" w:ascii="宋体" w:hAnsi="宋体" w:eastAsia="宋体" w:cs="宋体"/>
          <w:sz w:val="24"/>
          <w:lang w:val="en-US" w:eastAsia="zh-CN"/>
        </w:rPr>
        <w:t>呼吸机</w:t>
      </w:r>
      <w:r>
        <w:rPr>
          <w:rFonts w:hint="eastAsia" w:ascii="宋体" w:hAnsi="宋体" w:eastAsia="宋体" w:cs="宋体"/>
          <w:i w:val="0"/>
          <w:iCs w:val="0"/>
          <w:caps w:val="0"/>
          <w:color w:val="000000"/>
          <w:spacing w:val="0"/>
          <w:sz w:val="24"/>
          <w:szCs w:val="24"/>
          <w:shd w:val="clear" w:color="auto" w:fill="FFFFFF"/>
        </w:rPr>
        <w:t>及</w:t>
      </w:r>
      <w:r>
        <w:rPr>
          <w:rFonts w:hint="eastAsia" w:ascii="宋体" w:hAnsi="宋体" w:eastAsia="宋体" w:cs="宋体"/>
          <w:sz w:val="24"/>
        </w:rPr>
        <w:t>其它5台附属设备医疗设备明细表：</w:t>
      </w:r>
    </w:p>
    <w:tbl>
      <w:tblPr>
        <w:tblStyle w:val="3"/>
        <w:tblpPr w:leftFromText="180" w:rightFromText="180" w:vertAnchor="text" w:horzAnchor="margin" w:tblpXSpec="center" w:tblpY="166"/>
        <w:tblOverlap w:val="never"/>
        <w:tblW w:w="7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88"/>
        <w:gridCol w:w="1927"/>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46" w:type="dxa"/>
            <w:shd w:val="clear" w:color="auto" w:fill="FFFFFF"/>
            <w:noWrap w:val="0"/>
            <w:vAlign w:val="center"/>
          </w:tcPr>
          <w:p>
            <w:pPr>
              <w:jc w:val="center"/>
              <w:rPr>
                <w:rFonts w:hint="eastAsia" w:ascii="宋体" w:hAnsi="宋体" w:eastAsia="宋体" w:cs="宋体"/>
                <w:szCs w:val="21"/>
              </w:rPr>
            </w:pPr>
            <w:r>
              <w:rPr>
                <w:rFonts w:hint="eastAsia" w:ascii="宋体" w:hAnsi="宋体" w:eastAsia="宋体" w:cs="宋体"/>
                <w:color w:val="000000"/>
                <w:sz w:val="22"/>
              </w:rPr>
              <w:t>序号</w:t>
            </w:r>
          </w:p>
        </w:tc>
        <w:tc>
          <w:tcPr>
            <w:tcW w:w="1988" w:type="dxa"/>
            <w:shd w:val="clear" w:color="auto" w:fill="FFFFFF"/>
            <w:noWrap w:val="0"/>
            <w:vAlign w:val="center"/>
          </w:tcPr>
          <w:p>
            <w:pPr>
              <w:jc w:val="center"/>
              <w:rPr>
                <w:rFonts w:hint="eastAsia" w:ascii="宋体" w:hAnsi="宋体" w:eastAsia="宋体" w:cs="宋体"/>
                <w:szCs w:val="21"/>
              </w:rPr>
            </w:pPr>
            <w:r>
              <w:rPr>
                <w:rFonts w:hint="eastAsia" w:ascii="宋体" w:hAnsi="宋体" w:eastAsia="宋体" w:cs="宋体"/>
                <w:color w:val="000000"/>
                <w:sz w:val="22"/>
              </w:rPr>
              <w:t>设备型号</w:t>
            </w:r>
          </w:p>
        </w:tc>
        <w:tc>
          <w:tcPr>
            <w:tcW w:w="1927" w:type="dxa"/>
            <w:shd w:val="clear" w:color="auto" w:fill="FFFFFF"/>
            <w:noWrap w:val="0"/>
            <w:vAlign w:val="center"/>
          </w:tcPr>
          <w:p>
            <w:pPr>
              <w:jc w:val="center"/>
              <w:rPr>
                <w:rFonts w:hint="eastAsia" w:ascii="宋体" w:hAnsi="宋体" w:eastAsia="宋体" w:cs="宋体"/>
                <w:szCs w:val="21"/>
              </w:rPr>
            </w:pPr>
            <w:r>
              <w:rPr>
                <w:rFonts w:hint="eastAsia" w:ascii="宋体" w:hAnsi="宋体" w:eastAsia="宋体" w:cs="宋体"/>
                <w:color w:val="000000"/>
                <w:sz w:val="22"/>
              </w:rPr>
              <w:t>序列号</w:t>
            </w:r>
          </w:p>
        </w:tc>
        <w:tc>
          <w:tcPr>
            <w:tcW w:w="2384" w:type="dxa"/>
            <w:shd w:val="clear" w:color="auto" w:fill="FFFFFF"/>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入库日期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ASDA-0014</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2</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ASAJ-0047</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3</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lang w:val="en-US" w:eastAsia="zh-CN"/>
              </w:rPr>
            </w:pPr>
            <w:r>
              <w:rPr>
                <w:rFonts w:hint="eastAsia" w:ascii="宋体" w:hAnsi="宋体" w:eastAsia="宋体" w:cs="宋体"/>
              </w:rPr>
              <w:t>ARYN-0085</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2011-05-01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4</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ARZL-0001</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5</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ASAB-0105</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2009-01-01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6</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ASAJ-0050</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2009-03-01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7</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ASAJ-0053</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highlight w:val="none"/>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8</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ASCA-0295</w:t>
            </w:r>
          </w:p>
        </w:tc>
        <w:tc>
          <w:tcPr>
            <w:tcW w:w="2384" w:type="dxa"/>
            <w:noWrap w:val="0"/>
            <w:vAlign w:val="center"/>
          </w:tcPr>
          <w:p>
            <w:pPr>
              <w:jc w:val="center"/>
              <w:rPr>
                <w:rFonts w:hint="eastAsia" w:ascii="宋体" w:hAnsi="宋体" w:eastAsia="宋体" w:cs="宋体"/>
                <w:sz w:val="22"/>
                <w:lang w:val="en-US" w:eastAsia="zh-CN"/>
              </w:rPr>
            </w:pPr>
            <w:r>
              <w:rPr>
                <w:rFonts w:hint="eastAsia" w:ascii="宋体" w:hAnsi="宋体" w:eastAsia="宋体" w:cs="宋体"/>
                <w:sz w:val="22"/>
                <w:lang w:val="en-US" w:eastAsia="zh-CN"/>
              </w:rPr>
              <w:t>2011-05-08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9</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ASAJ-0051</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10</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EVITA4</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ARYN-0080</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2009-03-01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11</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EVITA4</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ARYN-0085</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2009-03-01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12</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EVITA XL</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ASBM-0220</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2011-05-01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13</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EVITA XL</w:t>
            </w:r>
            <w:r>
              <w:rPr>
                <w:rFonts w:hint="eastAsia" w:ascii="宋体" w:hAnsi="宋体" w:eastAsia="宋体" w:cs="宋体"/>
                <w:sz w:val="22"/>
              </w:rPr>
              <w:t xml:space="preserve"> </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ASBM-0221</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2011-05-01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14</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 300</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ASHE-0004</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15</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 300</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ASHJ-0166</w:t>
            </w:r>
          </w:p>
        </w:tc>
        <w:tc>
          <w:tcPr>
            <w:tcW w:w="2384" w:type="dxa"/>
            <w:noWrap w:val="0"/>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16</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ASHJ-0116</w:t>
            </w:r>
          </w:p>
        </w:tc>
        <w:tc>
          <w:tcPr>
            <w:tcW w:w="2384" w:type="dxa"/>
            <w:noWrap w:val="0"/>
            <w:vAlign w:val="center"/>
          </w:tcPr>
          <w:p>
            <w:pPr>
              <w:jc w:val="center"/>
              <w:rPr>
                <w:rFonts w:hint="eastAsia" w:ascii="宋体" w:hAnsi="宋体" w:eastAsia="宋体" w:cs="宋体"/>
                <w:sz w:val="22"/>
                <w:highlight w:val="none"/>
              </w:rPr>
            </w:pPr>
            <w:r>
              <w:rPr>
                <w:rFonts w:hint="eastAsia" w:ascii="宋体" w:hAnsi="宋体" w:eastAsia="宋体" w:cs="宋体"/>
                <w:color w:val="auto"/>
                <w:sz w:val="22"/>
                <w:highlight w:val="none"/>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17</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ASHJ-0115</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sz w:val="22"/>
              </w:rPr>
            </w:pPr>
            <w:r>
              <w:rPr>
                <w:rFonts w:hint="eastAsia" w:ascii="宋体" w:hAnsi="宋体" w:eastAsia="宋体" w:cs="宋体"/>
                <w:color w:val="000000"/>
                <w:sz w:val="22"/>
              </w:rPr>
              <w:t>18</w:t>
            </w:r>
          </w:p>
        </w:tc>
        <w:tc>
          <w:tcPr>
            <w:tcW w:w="1988" w:type="dxa"/>
            <w:noWrap w:val="0"/>
            <w:vAlign w:val="top"/>
          </w:tcPr>
          <w:p>
            <w:pPr>
              <w:jc w:val="center"/>
              <w:rPr>
                <w:rFonts w:hint="eastAsia" w:ascii="宋体" w:hAnsi="宋体" w:eastAsia="宋体" w:cs="宋体"/>
                <w:color w:val="000000"/>
                <w:sz w:val="22"/>
              </w:rPr>
            </w:pPr>
            <w:r>
              <w:rPr>
                <w:rFonts w:hint="eastAsia" w:ascii="宋体" w:hAnsi="宋体" w:eastAsia="宋体" w:cs="宋体"/>
              </w:rPr>
              <w:t>Savina</w:t>
            </w:r>
          </w:p>
        </w:tc>
        <w:tc>
          <w:tcPr>
            <w:tcW w:w="1927" w:type="dxa"/>
            <w:noWrap w:val="0"/>
            <w:vAlign w:val="top"/>
          </w:tcPr>
          <w:p>
            <w:pPr>
              <w:jc w:val="center"/>
              <w:rPr>
                <w:rFonts w:hint="eastAsia" w:ascii="宋体" w:hAnsi="宋体" w:eastAsia="宋体" w:cs="宋体"/>
                <w:color w:val="000000"/>
                <w:sz w:val="22"/>
              </w:rPr>
            </w:pPr>
            <w:r>
              <w:rPr>
                <w:rFonts w:hint="eastAsia" w:ascii="宋体" w:hAnsi="宋体" w:eastAsia="宋体" w:cs="宋体"/>
              </w:rPr>
              <w:t>ASHJ-0117</w:t>
            </w:r>
          </w:p>
        </w:tc>
        <w:tc>
          <w:tcPr>
            <w:tcW w:w="2384" w:type="dxa"/>
            <w:noWrap w:val="0"/>
            <w:vAlign w:val="center"/>
          </w:tcPr>
          <w:p>
            <w:pPr>
              <w:jc w:val="center"/>
              <w:rPr>
                <w:rFonts w:hint="eastAsia" w:ascii="宋体" w:hAnsi="宋体" w:eastAsia="宋体" w:cs="宋体"/>
                <w:color w:val="000000"/>
                <w:sz w:val="22"/>
              </w:rPr>
            </w:pPr>
            <w:r>
              <w:rPr>
                <w:rFonts w:hint="eastAsia" w:ascii="宋体" w:hAnsi="宋体" w:eastAsia="宋体" w:cs="宋体"/>
                <w:color w:val="000000"/>
                <w:sz w:val="22"/>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19</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ASHE-0047</w:t>
            </w:r>
          </w:p>
        </w:tc>
        <w:tc>
          <w:tcPr>
            <w:tcW w:w="2384" w:type="dxa"/>
            <w:noWrap w:val="0"/>
            <w:vAlign w:val="center"/>
          </w:tcPr>
          <w:p>
            <w:pPr>
              <w:jc w:val="center"/>
              <w:rPr>
                <w:rFonts w:hint="eastAsia" w:ascii="宋体" w:hAnsi="宋体" w:eastAsia="宋体" w:cs="宋体"/>
                <w:sz w:val="22"/>
              </w:rPr>
            </w:pPr>
            <w:r>
              <w:rPr>
                <w:rFonts w:hint="eastAsia" w:ascii="宋体" w:hAnsi="宋体" w:eastAsia="宋体" w:cs="宋体"/>
                <w:sz w:val="22"/>
              </w:rPr>
              <w:t>2016-03-16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sz w:val="22"/>
              </w:rPr>
            </w:pPr>
            <w:r>
              <w:rPr>
                <w:rFonts w:hint="eastAsia" w:ascii="宋体" w:hAnsi="宋体" w:eastAsia="宋体" w:cs="宋体"/>
                <w:color w:val="000000"/>
                <w:sz w:val="22"/>
              </w:rPr>
              <w:t>20</w:t>
            </w:r>
          </w:p>
        </w:tc>
        <w:tc>
          <w:tcPr>
            <w:tcW w:w="1988" w:type="dxa"/>
            <w:noWrap w:val="0"/>
            <w:vAlign w:val="top"/>
          </w:tcPr>
          <w:p>
            <w:pPr>
              <w:jc w:val="center"/>
              <w:rPr>
                <w:rFonts w:hint="eastAsia" w:ascii="宋体" w:hAnsi="宋体" w:eastAsia="宋体" w:cs="宋体"/>
                <w:sz w:val="22"/>
              </w:rPr>
            </w:pPr>
            <w:r>
              <w:rPr>
                <w:rFonts w:hint="eastAsia" w:ascii="宋体" w:hAnsi="宋体" w:eastAsia="宋体" w:cs="宋体"/>
              </w:rPr>
              <w:t>Savina</w:t>
            </w:r>
          </w:p>
        </w:tc>
        <w:tc>
          <w:tcPr>
            <w:tcW w:w="1927" w:type="dxa"/>
            <w:noWrap w:val="0"/>
            <w:vAlign w:val="top"/>
          </w:tcPr>
          <w:p>
            <w:pPr>
              <w:jc w:val="center"/>
              <w:rPr>
                <w:rFonts w:hint="eastAsia" w:ascii="宋体" w:hAnsi="宋体" w:eastAsia="宋体" w:cs="宋体"/>
                <w:sz w:val="22"/>
              </w:rPr>
            </w:pPr>
            <w:r>
              <w:rPr>
                <w:rFonts w:hint="eastAsia" w:ascii="宋体" w:hAnsi="宋体" w:eastAsia="宋体" w:cs="宋体"/>
              </w:rPr>
              <w:t>ASMN-0019</w:t>
            </w:r>
          </w:p>
        </w:tc>
        <w:tc>
          <w:tcPr>
            <w:tcW w:w="2384" w:type="dxa"/>
            <w:noWrap w:val="0"/>
            <w:vAlign w:val="top"/>
          </w:tcPr>
          <w:p>
            <w:pPr>
              <w:jc w:val="center"/>
              <w:rPr>
                <w:rFonts w:hint="eastAsia" w:ascii="宋体" w:hAnsi="宋体" w:eastAsia="宋体" w:cs="宋体"/>
                <w:sz w:val="18"/>
                <w:szCs w:val="21"/>
              </w:rPr>
            </w:pPr>
            <w:r>
              <w:rPr>
                <w:rFonts w:hint="eastAsia" w:ascii="宋体" w:hAnsi="宋体" w:eastAsia="宋体" w:cs="宋体"/>
                <w:sz w:val="22"/>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sz w:val="22"/>
              </w:rPr>
            </w:pPr>
            <w:r>
              <w:rPr>
                <w:rFonts w:hint="eastAsia" w:ascii="宋体" w:hAnsi="宋体" w:eastAsia="宋体" w:cs="宋体"/>
                <w:color w:val="000000"/>
                <w:sz w:val="22"/>
              </w:rPr>
              <w:t>21</w:t>
            </w:r>
          </w:p>
        </w:tc>
        <w:tc>
          <w:tcPr>
            <w:tcW w:w="1988" w:type="dxa"/>
            <w:noWrap w:val="0"/>
            <w:vAlign w:val="top"/>
          </w:tcPr>
          <w:p>
            <w:pPr>
              <w:jc w:val="center"/>
              <w:rPr>
                <w:rFonts w:hint="eastAsia" w:ascii="宋体" w:hAnsi="宋体" w:eastAsia="宋体" w:cs="宋体"/>
                <w:color w:val="000000"/>
                <w:sz w:val="22"/>
              </w:rPr>
            </w:pPr>
            <w:r>
              <w:rPr>
                <w:rFonts w:hint="eastAsia" w:ascii="宋体" w:hAnsi="宋体" w:eastAsia="宋体" w:cs="宋体"/>
              </w:rPr>
              <w:t>Savina</w:t>
            </w:r>
            <w:r>
              <w:rPr>
                <w:rFonts w:hint="eastAsia" w:ascii="宋体" w:hAnsi="宋体" w:eastAsia="宋体" w:cs="宋体"/>
                <w:color w:val="000000"/>
                <w:sz w:val="22"/>
              </w:rPr>
              <w:t xml:space="preserve"> </w:t>
            </w:r>
          </w:p>
        </w:tc>
        <w:tc>
          <w:tcPr>
            <w:tcW w:w="1927" w:type="dxa"/>
            <w:noWrap w:val="0"/>
            <w:vAlign w:val="top"/>
          </w:tcPr>
          <w:p>
            <w:pPr>
              <w:jc w:val="center"/>
              <w:rPr>
                <w:rFonts w:hint="eastAsia" w:ascii="宋体" w:hAnsi="宋体" w:eastAsia="宋体" w:cs="宋体"/>
                <w:color w:val="000000"/>
                <w:sz w:val="22"/>
              </w:rPr>
            </w:pPr>
            <w:r>
              <w:rPr>
                <w:rFonts w:hint="eastAsia" w:ascii="宋体" w:hAnsi="宋体" w:eastAsia="宋体" w:cs="宋体"/>
              </w:rPr>
              <w:t>ASAJ-0048</w:t>
            </w:r>
          </w:p>
        </w:tc>
        <w:tc>
          <w:tcPr>
            <w:tcW w:w="2384" w:type="dxa"/>
            <w:noWrap w:val="0"/>
            <w:vAlign w:val="center"/>
          </w:tcPr>
          <w:p>
            <w:pPr>
              <w:jc w:val="center"/>
              <w:rPr>
                <w:rFonts w:hint="eastAsia" w:ascii="宋体" w:hAnsi="宋体" w:eastAsia="宋体" w:cs="宋体"/>
                <w:color w:val="000000"/>
                <w:sz w:val="20"/>
              </w:rPr>
            </w:pPr>
            <w:r>
              <w:rPr>
                <w:rFonts w:hint="eastAsia" w:ascii="宋体" w:hAnsi="宋体" w:eastAsia="宋体" w:cs="宋体"/>
                <w:color w:val="000000"/>
                <w:sz w:val="22"/>
                <w:highlight w:val="none"/>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sz w:val="22"/>
              </w:rPr>
            </w:pPr>
            <w:r>
              <w:rPr>
                <w:rFonts w:hint="eastAsia" w:ascii="宋体" w:hAnsi="宋体" w:eastAsia="宋体" w:cs="宋体"/>
                <w:color w:val="000000"/>
                <w:sz w:val="22"/>
              </w:rPr>
              <w:t>22</w:t>
            </w:r>
          </w:p>
        </w:tc>
        <w:tc>
          <w:tcPr>
            <w:tcW w:w="1988" w:type="dxa"/>
            <w:noWrap w:val="0"/>
            <w:vAlign w:val="top"/>
          </w:tcPr>
          <w:p>
            <w:pPr>
              <w:jc w:val="center"/>
              <w:rPr>
                <w:rFonts w:hint="eastAsia" w:ascii="宋体" w:hAnsi="宋体" w:eastAsia="宋体" w:cs="宋体"/>
              </w:rPr>
            </w:pPr>
            <w:r>
              <w:rPr>
                <w:rFonts w:hint="eastAsia" w:ascii="宋体" w:hAnsi="宋体" w:eastAsia="宋体" w:cs="宋体"/>
              </w:rPr>
              <w:t xml:space="preserve">Savina </w:t>
            </w:r>
          </w:p>
        </w:tc>
        <w:tc>
          <w:tcPr>
            <w:tcW w:w="1927" w:type="dxa"/>
            <w:noWrap w:val="0"/>
            <w:vAlign w:val="top"/>
          </w:tcPr>
          <w:p>
            <w:pPr>
              <w:jc w:val="center"/>
              <w:rPr>
                <w:rFonts w:hint="eastAsia" w:ascii="宋体" w:hAnsi="宋体" w:eastAsia="宋体" w:cs="宋体"/>
              </w:rPr>
            </w:pPr>
            <w:r>
              <w:rPr>
                <w:rFonts w:hint="eastAsia" w:ascii="宋体" w:hAnsi="宋体" w:eastAsia="宋体" w:cs="宋体"/>
              </w:rPr>
              <w:t>ASAJ-0049</w:t>
            </w:r>
          </w:p>
        </w:tc>
        <w:tc>
          <w:tcPr>
            <w:tcW w:w="2384" w:type="dxa"/>
            <w:noWrap w:val="0"/>
            <w:vAlign w:val="center"/>
          </w:tcPr>
          <w:p>
            <w:pPr>
              <w:jc w:val="center"/>
              <w:rPr>
                <w:rFonts w:hint="eastAsia" w:ascii="宋体" w:hAnsi="宋体" w:eastAsia="宋体" w:cs="宋体"/>
                <w:color w:val="000000"/>
                <w:sz w:val="22"/>
              </w:rPr>
            </w:pPr>
            <w:r>
              <w:rPr>
                <w:rFonts w:hint="eastAsia" w:ascii="宋体" w:hAnsi="宋体" w:eastAsia="宋体" w:cs="宋体"/>
                <w:color w:val="000000"/>
                <w:sz w:val="22"/>
              </w:rPr>
              <w:t>2010-05-01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sz w:val="22"/>
                <w:lang w:val="en-US" w:eastAsia="zh-CN"/>
              </w:rPr>
              <w:t>23</w:t>
            </w:r>
          </w:p>
        </w:tc>
        <w:tc>
          <w:tcPr>
            <w:tcW w:w="1988"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Compressor</w:t>
            </w:r>
            <w:r>
              <w:rPr>
                <w:rFonts w:hint="eastAsia" w:ascii="宋体" w:hAnsi="宋体" w:eastAsia="宋体" w:cs="宋体"/>
                <w:lang w:eastAsia="zh-CN"/>
              </w:rPr>
              <w:t>（</w:t>
            </w:r>
            <w:r>
              <w:rPr>
                <w:rFonts w:hint="eastAsia" w:ascii="宋体" w:hAnsi="宋体" w:eastAsia="宋体" w:cs="宋体"/>
                <w:lang w:val="en-US" w:eastAsia="zh-CN"/>
              </w:rPr>
              <w:t>配套</w:t>
            </w:r>
            <w:r>
              <w:rPr>
                <w:rFonts w:hint="eastAsia" w:ascii="宋体" w:hAnsi="宋体" w:eastAsia="宋体" w:cs="宋体"/>
              </w:rPr>
              <w:t>EVITA4</w:t>
            </w:r>
            <w:r>
              <w:rPr>
                <w:rFonts w:hint="eastAsia" w:ascii="宋体" w:hAnsi="宋体" w:eastAsia="宋体" w:cs="宋体"/>
                <w:sz w:val="22"/>
              </w:rPr>
              <w:t xml:space="preserve"> </w:t>
            </w:r>
            <w:r>
              <w:rPr>
                <w:rFonts w:hint="eastAsia" w:ascii="宋体" w:hAnsi="宋体" w:eastAsia="宋体" w:cs="宋体"/>
                <w:lang w:eastAsia="zh-CN"/>
              </w:rPr>
              <w:t>）</w:t>
            </w:r>
          </w:p>
        </w:tc>
        <w:tc>
          <w:tcPr>
            <w:tcW w:w="1927"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ASCN-0003</w:t>
            </w:r>
          </w:p>
        </w:tc>
        <w:tc>
          <w:tcPr>
            <w:tcW w:w="2384"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sz w:val="22"/>
              </w:rPr>
              <w:t>2009-03-01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sz w:val="22"/>
                <w:lang w:val="en-US" w:eastAsia="zh-CN"/>
              </w:rPr>
              <w:t>24</w:t>
            </w:r>
          </w:p>
        </w:tc>
        <w:tc>
          <w:tcPr>
            <w:tcW w:w="1988"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Compressor</w:t>
            </w:r>
            <w:r>
              <w:rPr>
                <w:rFonts w:hint="eastAsia" w:ascii="宋体" w:hAnsi="宋体" w:eastAsia="宋体" w:cs="宋体"/>
                <w:lang w:eastAsia="zh-CN"/>
              </w:rPr>
              <w:t>（</w:t>
            </w:r>
            <w:r>
              <w:rPr>
                <w:rFonts w:hint="eastAsia" w:ascii="宋体" w:hAnsi="宋体" w:eastAsia="宋体" w:cs="宋体"/>
                <w:lang w:val="en-US" w:eastAsia="zh-CN"/>
              </w:rPr>
              <w:t>配套</w:t>
            </w:r>
            <w:r>
              <w:rPr>
                <w:rFonts w:hint="eastAsia" w:ascii="宋体" w:hAnsi="宋体" w:eastAsia="宋体" w:cs="宋体"/>
              </w:rPr>
              <w:t>EVITA4</w:t>
            </w:r>
            <w:r>
              <w:rPr>
                <w:rFonts w:hint="eastAsia" w:ascii="宋体" w:hAnsi="宋体" w:eastAsia="宋体" w:cs="宋体"/>
                <w:sz w:val="22"/>
              </w:rPr>
              <w:t xml:space="preserve"> </w:t>
            </w:r>
            <w:r>
              <w:rPr>
                <w:rFonts w:hint="eastAsia" w:ascii="宋体" w:hAnsi="宋体" w:eastAsia="宋体" w:cs="宋体"/>
                <w:lang w:eastAsia="zh-CN"/>
              </w:rPr>
              <w:t>）</w:t>
            </w:r>
          </w:p>
        </w:tc>
        <w:tc>
          <w:tcPr>
            <w:tcW w:w="1927"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ASDA-0014</w:t>
            </w:r>
          </w:p>
        </w:tc>
        <w:tc>
          <w:tcPr>
            <w:tcW w:w="2384"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sz w:val="22"/>
              </w:rPr>
              <w:t>2009-03-01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sz w:val="22"/>
                <w:lang w:val="en-US" w:eastAsia="zh-CN"/>
              </w:rPr>
              <w:t>25</w:t>
            </w:r>
          </w:p>
        </w:tc>
        <w:tc>
          <w:tcPr>
            <w:tcW w:w="1988"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Oxylog 2000 Plus</w:t>
            </w:r>
          </w:p>
        </w:tc>
        <w:tc>
          <w:tcPr>
            <w:tcW w:w="1927"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ASJA-0008</w:t>
            </w:r>
          </w:p>
        </w:tc>
        <w:tc>
          <w:tcPr>
            <w:tcW w:w="2384"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kern w:val="2"/>
                <w:sz w:val="22"/>
                <w:szCs w:val="24"/>
                <w:lang w:val="en-US" w:eastAsia="zh-CN" w:bidi="ar-SA"/>
              </w:rPr>
              <w:t>2016-05-12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sz w:val="22"/>
                <w:lang w:val="en-US" w:eastAsia="zh-CN"/>
              </w:rPr>
              <w:t>26</w:t>
            </w:r>
          </w:p>
        </w:tc>
        <w:tc>
          <w:tcPr>
            <w:tcW w:w="1988"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Carina</w:t>
            </w:r>
          </w:p>
        </w:tc>
        <w:tc>
          <w:tcPr>
            <w:tcW w:w="1927"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ASBM-0036</w:t>
            </w:r>
          </w:p>
        </w:tc>
        <w:tc>
          <w:tcPr>
            <w:tcW w:w="2384"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kern w:val="2"/>
                <w:sz w:val="22"/>
                <w:szCs w:val="24"/>
                <w:lang w:val="en-US" w:eastAsia="zh-CN" w:bidi="ar-SA"/>
              </w:rPr>
              <w:t>2011-05-01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46"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sz w:val="22"/>
                <w:lang w:val="en-US" w:eastAsia="zh-CN"/>
              </w:rPr>
              <w:t>27</w:t>
            </w:r>
          </w:p>
        </w:tc>
        <w:tc>
          <w:tcPr>
            <w:tcW w:w="1988"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Carina</w:t>
            </w:r>
          </w:p>
        </w:tc>
        <w:tc>
          <w:tcPr>
            <w:tcW w:w="1927" w:type="dxa"/>
            <w:noWrap w:val="0"/>
            <w:vAlign w:val="top"/>
          </w:tcPr>
          <w:p>
            <w:pPr>
              <w:jc w:val="center"/>
              <w:rPr>
                <w:rFonts w:hint="eastAsia" w:ascii="宋体" w:hAnsi="宋体" w:eastAsia="宋体" w:cs="宋体"/>
                <w:kern w:val="2"/>
                <w:sz w:val="21"/>
                <w:szCs w:val="24"/>
                <w:lang w:val="en-US" w:eastAsia="zh-CN" w:bidi="ar-SA"/>
              </w:rPr>
            </w:pPr>
            <w:r>
              <w:rPr>
                <w:rFonts w:hint="eastAsia" w:ascii="宋体" w:hAnsi="宋体" w:eastAsia="宋体" w:cs="宋体"/>
              </w:rPr>
              <w:t>ASBM-0037</w:t>
            </w:r>
          </w:p>
        </w:tc>
        <w:tc>
          <w:tcPr>
            <w:tcW w:w="2384" w:type="dxa"/>
            <w:noWrap w:val="0"/>
            <w:vAlign w:val="center"/>
          </w:tcPr>
          <w:p>
            <w:pPr>
              <w:jc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kern w:val="2"/>
                <w:sz w:val="22"/>
                <w:szCs w:val="24"/>
                <w:lang w:val="en-US" w:eastAsia="zh-CN" w:bidi="ar-SA"/>
              </w:rPr>
              <w:t>2011-05-01</w:t>
            </w:r>
          </w:p>
        </w:tc>
      </w:tr>
    </w:tbl>
    <w:p>
      <w:pPr>
        <w:adjustRightInd w:val="0"/>
        <w:spacing w:line="360" w:lineRule="auto"/>
        <w:ind w:firstLine="630" w:firstLineChars="300"/>
        <w:rPr>
          <w:rFonts w:hint="eastAsia" w:ascii="宋体" w:hAnsi="宋体" w:eastAsia="宋体" w:cs="宋体"/>
          <w:sz w:val="24"/>
        </w:rPr>
      </w:pPr>
      <w:r>
        <w:rPr>
          <w:rFonts w:hint="eastAsia" w:ascii="宋体" w:hAnsi="宋体" w:eastAsia="宋体" w:cs="宋体"/>
          <w:kern w:val="0"/>
          <w:szCs w:val="21"/>
          <w:lang w:eastAsia="zh-CN" w:bidi="ar"/>
        </w:rPr>
        <w:t xml:space="preserve"> </w:t>
      </w:r>
      <w:r>
        <w:rPr>
          <w:rFonts w:hint="eastAsia" w:ascii="宋体" w:hAnsi="宋体" w:eastAsia="宋体" w:cs="宋体"/>
          <w:kern w:val="0"/>
          <w:szCs w:val="21"/>
          <w:lang w:val="en-US" w:eastAsia="zh-CN" w:bidi="ar"/>
        </w:rPr>
        <w:t xml:space="preserve"> </w:t>
      </w:r>
      <w:r>
        <w:rPr>
          <w:rFonts w:hint="eastAsia" w:ascii="宋体" w:hAnsi="宋体" w:eastAsia="宋体" w:cs="宋体"/>
          <w:sz w:val="24"/>
        </w:rPr>
        <w:t>整机全保服务：整机性能的全面保障。服务范围包括但不限于：电气安全测试；通气性能测试；系统运行状态全面检测；系统参数调试与校准，确保符合原厂技术规范。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3、服务要求</w:t>
      </w:r>
    </w:p>
    <w:tbl>
      <w:tblPr>
        <w:tblStyle w:val="3"/>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序号</w:t>
            </w:r>
          </w:p>
        </w:tc>
        <w:tc>
          <w:tcPr>
            <w:tcW w:w="8505" w:type="dxa"/>
            <w:noWrap w:val="0"/>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服务</w:t>
            </w:r>
            <w:r>
              <w:rPr>
                <w:rFonts w:hint="eastAsia" w:ascii="宋体" w:hAnsi="宋体" w:eastAsia="宋体" w:cs="宋体"/>
                <w:color w:val="000000"/>
                <w:kern w:val="0"/>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1</w:t>
            </w:r>
          </w:p>
        </w:tc>
        <w:tc>
          <w:tcPr>
            <w:tcW w:w="8505" w:type="dxa"/>
            <w:noWrap w:val="0"/>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保修设备的故障零配件免费更换，不限次数机器维修，包含维修人员的工时费、差旅费。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2</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在保修合同执行期间，如原厂家有新的软件版本（指设备的稳定性软件，非功能选件）及硬件的安全性改版，投标人须免费为采购人升级。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3</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定期的维护保养服务包括：设备的安全检查、更换易损件、机器清洁、性能测试及校准、必要的机械或电气的检查以及其它维护。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4</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每年为服务方提供至少2次维护保养服务检测，其中更换保养件一次。提供定期保养计划（时间、工时、保养内容等）,与采购人协商安排具体保养时间。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5</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维修工程师在完成故障维修后，提交书面维修报告给采购人。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6</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维修工程师在保养结束后，提交质控报告给采购人。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rPr>
              <w:t>7</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 提供呼吸机附属湿化器维保（维保湿化器主机，不含附件线缆等消耗品），要求必须有湿化器厂家授权书。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8</w:t>
            </w:r>
          </w:p>
        </w:tc>
        <w:tc>
          <w:tcPr>
            <w:tcW w:w="8505" w:type="dxa"/>
            <w:noWrap w:val="0"/>
            <w:vAlign w:val="center"/>
          </w:tcPr>
          <w:p>
            <w:pPr>
              <w:widowControl/>
              <w:snapToGrid w:val="0"/>
              <w:spacing w:line="360" w:lineRule="auto"/>
              <w:jc w:val="left"/>
              <w:rPr>
                <w:rFonts w:hint="eastAsia" w:ascii="宋体" w:hAnsi="宋体" w:eastAsia="宋体" w:cs="宋体"/>
                <w:kern w:val="0"/>
                <w:szCs w:val="22"/>
              </w:rPr>
            </w:pPr>
            <w:r>
              <w:rPr>
                <w:rFonts w:hint="eastAsia" w:ascii="宋体" w:hAnsi="宋体" w:eastAsia="宋体" w:cs="宋体"/>
                <w:kern w:val="0"/>
                <w:szCs w:val="22"/>
              </w:rPr>
              <w:t xml:space="preserve">▲提供2台Savina300的高流量氧疗选配通气模式，高流量氧疗具体参数：氧浓度的可调范围是21%到100%，持续流速BTPS 2L/min到100L/min，并且屏幕能够显示这两个参数。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9</w:t>
            </w:r>
          </w:p>
        </w:tc>
        <w:tc>
          <w:tcPr>
            <w:tcW w:w="8505" w:type="dxa"/>
            <w:noWrap w:val="0"/>
            <w:vAlign w:val="center"/>
          </w:tcPr>
          <w:p>
            <w:pPr>
              <w:widowControl/>
              <w:snapToGrid w:val="0"/>
              <w:spacing w:line="360" w:lineRule="auto"/>
              <w:jc w:val="left"/>
              <w:rPr>
                <w:rFonts w:hint="eastAsia" w:ascii="宋体" w:hAnsi="宋体" w:eastAsia="宋体" w:cs="宋体"/>
                <w:kern w:val="0"/>
                <w:szCs w:val="22"/>
              </w:rPr>
            </w:pPr>
            <w:r>
              <w:rPr>
                <w:rFonts w:hint="eastAsia" w:ascii="宋体" w:hAnsi="宋体" w:eastAsia="宋体" w:cs="宋体"/>
                <w:kern w:val="0"/>
                <w:szCs w:val="22"/>
              </w:rPr>
              <w:t>▲ 提供25套泄漏阀管路，4个氧电池，8盒流量传感器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auto"/>
                <w:kern w:val="0"/>
                <w:szCs w:val="22"/>
              </w:rPr>
            </w:pPr>
            <w:r>
              <w:rPr>
                <w:rFonts w:hint="eastAsia" w:ascii="宋体" w:hAnsi="宋体" w:eastAsia="宋体" w:cs="宋体"/>
                <w:color w:val="auto"/>
                <w:kern w:val="0"/>
                <w:szCs w:val="22"/>
                <w:lang w:val="en-US" w:eastAsia="zh-CN"/>
              </w:rPr>
              <w:t>10</w:t>
            </w:r>
          </w:p>
        </w:tc>
        <w:tc>
          <w:tcPr>
            <w:tcW w:w="8505" w:type="dxa"/>
            <w:noWrap w:val="0"/>
            <w:vAlign w:val="center"/>
          </w:tcPr>
          <w:p>
            <w:pPr>
              <w:widowControl/>
              <w:snapToGrid w:val="0"/>
              <w:spacing w:line="360" w:lineRule="auto"/>
              <w:jc w:val="left"/>
              <w:rPr>
                <w:rFonts w:hint="eastAsia" w:ascii="宋体" w:hAnsi="宋体" w:eastAsia="宋体" w:cs="宋体"/>
                <w:color w:val="auto"/>
                <w:kern w:val="0"/>
                <w:szCs w:val="22"/>
              </w:rPr>
            </w:pPr>
            <w:r>
              <w:rPr>
                <w:rFonts w:hint="eastAsia" w:ascii="宋体" w:hAnsi="宋体" w:eastAsia="宋体" w:cs="宋体"/>
                <w:color w:val="auto"/>
                <w:kern w:val="0"/>
                <w:szCs w:val="22"/>
              </w:rPr>
              <w:t>服务类型要求：定期巡检、远程服务（电话支持）、现场服务、安全检测保养。</w:t>
            </w:r>
          </w:p>
          <w:p>
            <w:pPr>
              <w:widowControl/>
              <w:snapToGrid w:val="0"/>
              <w:spacing w:line="360" w:lineRule="auto"/>
              <w:jc w:val="left"/>
              <w:rPr>
                <w:rFonts w:hint="eastAsia" w:ascii="宋体" w:hAnsi="宋体" w:eastAsia="宋体" w:cs="宋体"/>
                <w:color w:val="auto"/>
                <w:kern w:val="0"/>
                <w:szCs w:val="22"/>
              </w:rPr>
            </w:pPr>
            <w:r>
              <w:rPr>
                <w:rFonts w:hint="eastAsia" w:ascii="宋体" w:hAnsi="宋体" w:eastAsia="宋体" w:cs="宋体"/>
                <w:color w:val="auto"/>
                <w:kern w:val="0"/>
                <w:szCs w:val="22"/>
              </w:rPr>
              <w:t>响应时间要求：报修电话响应时间≤0.5小时，平均到场≤4小时。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11</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维保范围不包括消耗品：氧电池、流量传感器、积水杯、硅胶管路、吸气阀、呼气阀。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12</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kern w:val="0"/>
                <w:szCs w:val="21"/>
                <w:lang w:bidi="ar"/>
              </w:rPr>
              <w:t>★</w:t>
            </w:r>
            <w:r>
              <w:rPr>
                <w:rFonts w:hint="eastAsia" w:ascii="宋体" w:hAnsi="宋体" w:eastAsia="宋体" w:cs="宋体"/>
                <w:color w:val="000000"/>
                <w:kern w:val="0"/>
                <w:szCs w:val="22"/>
              </w:rPr>
              <w:t>提供的维保服务应能达到95%以上的开机率。开机率计算公式：（365-故障天数）/365，如未达到95%的开机率，每低1%，合同期限相应延长5个日历。（投标文件内须提供承诺函并加盖投标人公章）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eastAsia" w:ascii="宋体" w:hAnsi="宋体" w:eastAsia="宋体" w:cs="宋体"/>
                <w:color w:val="000000"/>
                <w:kern w:val="0"/>
                <w:szCs w:val="22"/>
              </w:rPr>
            </w:pPr>
            <w:r>
              <w:rPr>
                <w:rFonts w:hint="eastAsia" w:ascii="宋体" w:hAnsi="宋体" w:eastAsia="宋体" w:cs="宋体"/>
                <w:color w:val="000000"/>
                <w:kern w:val="0"/>
                <w:szCs w:val="22"/>
                <w:lang w:val="en-US" w:eastAsia="zh-CN"/>
              </w:rPr>
              <w:t>13</w:t>
            </w:r>
          </w:p>
        </w:tc>
        <w:tc>
          <w:tcPr>
            <w:tcW w:w="8505" w:type="dxa"/>
            <w:noWrap w:val="0"/>
            <w:vAlign w:val="center"/>
          </w:tcPr>
          <w:p>
            <w:pPr>
              <w:widowControl/>
              <w:snapToGrid w:val="0"/>
              <w:spacing w:line="360" w:lineRule="auto"/>
              <w:jc w:val="left"/>
              <w:rPr>
                <w:rFonts w:hint="eastAsia" w:ascii="宋体" w:hAnsi="宋体" w:eastAsia="宋体" w:cs="宋体"/>
                <w:kern w:val="0"/>
                <w:szCs w:val="21"/>
                <w:lang w:bidi="ar"/>
              </w:rPr>
            </w:pPr>
            <w:r>
              <w:rPr>
                <w:rFonts w:hint="eastAsia" w:ascii="宋体" w:hAnsi="宋体" w:eastAsia="宋体" w:cs="宋体"/>
                <w:color w:val="000000"/>
                <w:kern w:val="0"/>
                <w:szCs w:val="22"/>
              </w:rPr>
              <w:t>提供24小时×365天的400或800客户服务专线电话，在线技术支持工程师提供在线技术咨询和维修诊断，提供在线技术支持工程师≥2人。（在线技术支持工程师均获得维保设备厂家的产品维修技能资质证书，提供资质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14</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 零备件供应时效要求：常规备件在2个工作日内到达医院，非常规备件在最长不超过5个工作日内达到医院。（投标人提供承诺函并加盖投标人公章）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15</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定期组织相关工程师培训，培训内容至少包括：呼吸机的原理，呼吸机的故障处理，呼吸机的报警处理，呼吸模式的应用，呼吸机校准方法及更新。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16</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需具备呼吸机厂家认证资质的呼吸机临床培训专员，提供临床应用服务支持以满足各个临床科室的临床培训需求。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17</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投标人承诺提供保修范围内维修所需配件为原厂全新配件，故障配件只换不修，不对配件做修复性维修，保证维修后的技术参数达到使用标准，并符合国家有关标准、制造厂标准或合同技术标准要求的合格医疗设备或器械及配件；（投标文件内须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18</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 投标人提供的维保服务质量须与符合原厂质量标准或国家质量计监部门之标准，并有原厂技术支持专家审核合格的报告单。供应商应在投标文件中附空白维修报告，空白设备检测报告，设备检测技术手册。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19</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 维修人员要求：</w:t>
            </w:r>
            <w:r>
              <w:rPr>
                <w:rFonts w:hint="eastAsia" w:ascii="宋体" w:hAnsi="宋体" w:eastAsia="宋体" w:cs="宋体"/>
                <w:color w:val="000000"/>
                <w:kern w:val="0"/>
                <w:szCs w:val="22"/>
                <w:lang w:eastAsia="zh-CN"/>
              </w:rPr>
              <w:t>现场维修工程师</w:t>
            </w:r>
            <w:r>
              <w:rPr>
                <w:rFonts w:hint="eastAsia" w:ascii="宋体" w:hAnsi="宋体" w:eastAsia="宋体" w:cs="宋体"/>
                <w:color w:val="000000"/>
                <w:kern w:val="0"/>
                <w:szCs w:val="22"/>
              </w:rPr>
              <w:t>配备≥3名专业维修工程师，并注明维修工程师的名录、联系方式。（工程师均获得维保设备厂家的产品维修技能资质证书，提供资质证明材料，加盖公章。）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20</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需具备呼吸机的质控设备清单及其对应的计量检定校准证书，并提供该清单设备的购买发票或合同复印件，质控设备清单至少应全部包括但不限于以下设备：医用电气安全分析仪、气流分析仪、万用表、呼吸机检测仪、压力表，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21</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具备远程诊断系统，并可以提供远程维修技术支持和远程临床运用服务支持等功能。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22</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▲投标人应具备产品维修软件维修密钥。需提供产品维修软件密钥使用证明或截图。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23</w:t>
            </w:r>
          </w:p>
        </w:tc>
        <w:tc>
          <w:tcPr>
            <w:tcW w:w="8505" w:type="dxa"/>
            <w:noWrap w:val="0"/>
            <w:vAlign w:val="center"/>
          </w:tcPr>
          <w:p>
            <w:pPr>
              <w:widowControl/>
              <w:snapToGrid w:val="0"/>
              <w:spacing w:line="360" w:lineRule="auto"/>
              <w:jc w:val="left"/>
              <w:rPr>
                <w:rFonts w:hint="eastAsia" w:ascii="宋体" w:hAnsi="宋体" w:eastAsia="宋体" w:cs="宋体"/>
                <w:kern w:val="0"/>
                <w:szCs w:val="22"/>
              </w:rPr>
            </w:pPr>
            <w:r>
              <w:rPr>
                <w:rFonts w:hint="eastAsia" w:ascii="宋体" w:hAnsi="宋体" w:eastAsia="宋体" w:cs="宋体"/>
                <w:kern w:val="0"/>
                <w:szCs w:val="22"/>
              </w:rPr>
              <w:t>投标人具有ISO9001国际标准质量管理体系认证，须提供证明材料。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24</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投标人须无条件接受合同签订时的设备现状并对其进行带病入保，须提供书面承诺函。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25</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为保证项目实施所需备件供应，投标人中标后，需在国内设有专业、充足的设备零备件仓库，确保能够第一时间响应并精准满足用户的配件需求</w:t>
            </w:r>
            <w:r>
              <w:rPr>
                <w:rFonts w:hint="eastAsia" w:ascii="宋体" w:hAnsi="宋体" w:eastAsia="宋体" w:cs="宋体"/>
                <w:color w:val="000000"/>
                <w:kern w:val="0"/>
                <w:szCs w:val="22"/>
                <w:lang w:eastAsia="zh-CN"/>
              </w:rPr>
              <w:t>，</w:t>
            </w:r>
            <w:r>
              <w:rPr>
                <w:rFonts w:hint="eastAsia" w:ascii="宋体" w:hAnsi="宋体" w:eastAsia="宋体" w:cs="宋体"/>
                <w:color w:val="000000"/>
                <w:kern w:val="0"/>
                <w:szCs w:val="22"/>
              </w:rPr>
              <w:t>须在合同签订后的1个月内，</w:t>
            </w:r>
            <w:r>
              <w:rPr>
                <w:rFonts w:hint="eastAsia" w:ascii="宋体" w:hAnsi="宋体" w:eastAsia="宋体" w:cs="宋体"/>
                <w:color w:val="000000"/>
                <w:kern w:val="0"/>
                <w:szCs w:val="22"/>
                <w:lang w:eastAsia="zh-CN"/>
              </w:rPr>
              <w:t>建立常用备件仓库。</w:t>
            </w:r>
            <w:r>
              <w:rPr>
                <w:rFonts w:hint="eastAsia" w:ascii="宋体" w:hAnsi="宋体" w:eastAsia="宋体" w:cs="宋体"/>
                <w:color w:val="000000"/>
                <w:kern w:val="0"/>
                <w:szCs w:val="22"/>
              </w:rPr>
              <w:t>（提供书面承诺函并加盖投标人公章。合同签订后1个月内，中标人须提供备件仓库的房屋租赁合同</w:t>
            </w:r>
            <w:r>
              <w:rPr>
                <w:rFonts w:hint="eastAsia" w:ascii="宋体" w:hAnsi="宋体" w:eastAsia="宋体" w:cs="宋体"/>
                <w:color w:val="000000"/>
                <w:kern w:val="0"/>
                <w:szCs w:val="22"/>
                <w:lang w:eastAsia="zh-CN"/>
              </w:rPr>
              <w:t>或产权合同</w:t>
            </w:r>
            <w:r>
              <w:rPr>
                <w:rFonts w:hint="eastAsia" w:ascii="宋体" w:hAnsi="宋体" w:eastAsia="宋体" w:cs="宋体"/>
                <w:color w:val="000000"/>
                <w:kern w:val="0"/>
                <w:szCs w:val="22"/>
              </w:rPr>
              <w:t>复印件给采购人确认）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81" w:type="dxa"/>
            <w:noWrap/>
            <w:vAlign w:val="center"/>
          </w:tcPr>
          <w:p>
            <w:pPr>
              <w:widowControl/>
              <w:snapToGrid w:val="0"/>
              <w:spacing w:line="360" w:lineRule="auto"/>
              <w:jc w:val="center"/>
              <w:rPr>
                <w:rFonts w:hint="default" w:ascii="宋体" w:hAnsi="宋体" w:eastAsia="宋体" w:cs="宋体"/>
                <w:color w:val="000000"/>
                <w:kern w:val="0"/>
                <w:szCs w:val="22"/>
                <w:lang w:val="en-US" w:eastAsia="zh-CN"/>
              </w:rPr>
            </w:pPr>
            <w:r>
              <w:rPr>
                <w:rFonts w:hint="eastAsia" w:ascii="宋体" w:hAnsi="宋体" w:eastAsia="宋体" w:cs="宋体"/>
                <w:color w:val="000000"/>
                <w:kern w:val="0"/>
                <w:szCs w:val="22"/>
                <w:lang w:val="en-US" w:eastAsia="zh-CN"/>
              </w:rPr>
              <w:t>26</w:t>
            </w:r>
          </w:p>
        </w:tc>
        <w:tc>
          <w:tcPr>
            <w:tcW w:w="8505" w:type="dxa"/>
            <w:noWrap w:val="0"/>
            <w:vAlign w:val="center"/>
          </w:tcPr>
          <w:p>
            <w:pPr>
              <w:widowControl/>
              <w:snapToGrid w:val="0"/>
              <w:spacing w:line="360" w:lineRule="auto"/>
              <w:jc w:val="left"/>
              <w:rPr>
                <w:rFonts w:hint="eastAsia" w:ascii="宋体" w:hAnsi="宋体" w:eastAsia="宋体" w:cs="宋体"/>
                <w:color w:val="000000"/>
                <w:kern w:val="0"/>
                <w:szCs w:val="22"/>
              </w:rPr>
            </w:pPr>
            <w:r>
              <w:rPr>
                <w:rFonts w:hint="eastAsia" w:ascii="宋体" w:hAnsi="宋体" w:eastAsia="宋体" w:cs="宋体"/>
                <w:color w:val="000000"/>
                <w:kern w:val="0"/>
                <w:szCs w:val="22"/>
              </w:rPr>
              <w:t>▲提供呼吸机（型号：Savina）核心配件（主控制板）两年内原厂全新进口的报关单原件扫描件并加盖投标人公章。</w:t>
            </w:r>
          </w:p>
        </w:tc>
      </w:tr>
    </w:tbl>
    <w:p>
      <w:pPr>
        <w:widowControl/>
        <w:jc w:val="left"/>
        <w:rPr>
          <w:rFonts w:ascii="宋体" w:hAnsi="宋体" w:cs="宋体"/>
          <w:kern w:val="0"/>
          <w:sz w:val="24"/>
        </w:rPr>
      </w:pPr>
    </w:p>
    <w:p>
      <w:pPr>
        <w:rPr>
          <w:rFonts w:hint="eastAsia" w:ascii="宋体" w:hAnsi="宋体"/>
          <w:highlight w:val="none"/>
        </w:rPr>
      </w:pPr>
    </w:p>
    <w:p>
      <w:pPr>
        <w:rPr>
          <w:rFonts w:hint="eastAsia" w:ascii="宋体" w:hAnsi="宋体"/>
          <w:highlight w:val="none"/>
        </w:rPr>
      </w:pPr>
    </w:p>
    <w:p>
      <w:pPr>
        <w:numPr>
          <w:ilvl w:val="0"/>
          <w:numId w:val="1"/>
        </w:numPr>
        <w:ind w:firstLine="0"/>
        <w:rPr>
          <w:rFonts w:hint="eastAsia" w:ascii="宋体" w:hAnsi="宋体" w:eastAsia="宋体" w:cs="宋体"/>
          <w:b/>
          <w:bCs/>
          <w:sz w:val="28"/>
          <w:szCs w:val="36"/>
          <w:highlight w:val="none"/>
          <w:lang w:eastAsia="zh-CN"/>
        </w:rPr>
      </w:pPr>
      <w:r>
        <w:rPr>
          <w:rFonts w:hint="eastAsia" w:ascii="宋体" w:hAnsi="宋体" w:eastAsia="宋体" w:cs="宋体"/>
          <w:b/>
          <w:bCs/>
          <w:sz w:val="28"/>
          <w:szCs w:val="36"/>
          <w:highlight w:val="none"/>
          <w:lang w:eastAsia="zh-CN"/>
        </w:rPr>
        <w:t>其他要求</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1、投标人须根据本项目服务范围和服务要求的内容提供完整详细的服务方案，包括但不限于整体服务项目实施的时间安排、服务内容、软件支持、质控、备件供应、提供的服务团队成员资历等。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2、投标人须提供针对本次需要维保的设备常见的故障导致的原因以及发生故障之后的应对措施，并作出合理的、具有可操作的服务方案。包括但不限于以下故障类型：</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（1）气道压力报警‌类故障，表现为压力过高或过低报警等。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（2）通气参数偏差类故障，表现为潮气量不准（过高或过低）、分钟通气量异常等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（3）停机或系统故障，表现为突然停机、内部电路问题等。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（4）设备常见故障等。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3、投标人须提供针对本项目的服务质量保证措施及项目提升方案，服务质量保证措施必须科学合理，提升方案具体可行或实用性强，要求不仅能确保设备稳定运行和产品质量，更能提升科室整体运营效率、患者满意度和临床诊断水平等。方案内容包括但不限于：（1）服务质量保证措施，要求通过标准化、制度化的措施，确保服务达到并维持在一个稳定、可靠的水平。（2）项目提升方案，要求通过技术创新和管理优化，不断超越现有水平，创造额外价值。</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4、投标人须制定关于本项目维保设备的全生命周期维保售后服务方案，列明有提供售后服务的项目，并明确是否需要收费及相关承诺，方案还需包括售后服务承诺、售后服务计划、售后服务结果查询，要求方案内容完善合理，针对性强，具有可行性。通过最大化设备的正常运行时间，保障产品质量的稳定与精准，控制长期运营成本，并提升科室的整体运营效率，最终为医院的临床诊断和患者服务提供坚强可靠的技术保障。方案内容包括但不限于：（1）方案概述；（2）服务模式选择；（3）核心服务内容详述；（4）报价与合同条款等。</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5、串通投标的处置</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投标人存在政府采购相关法律法规规定的属于或视为投标人相互串通投标情形的，投标无效。投标人串通投标中标的，其行为是在签订合同之前被认定的，则中标无效，采购人可以重新开展招标采购活动，也可以按照评标报告推荐的中标候选人名单排序，确定下一候选人为中标供应商。投标人串通投标中标的，其行为是在签订合同之后被证实的，则认定为投标人的违约行为，按合同约定承担违约责任，采购人有权终止合同。上述串通投标行为，构成犯罪的，依法追究刑事责任；尚不构成犯罪的，依据相关法律规定报相关主管部门，给采购人造成损失的应承担赔偿责任。</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★6、不参与串通投标承诺</w:t>
      </w:r>
    </w:p>
    <w:p>
      <w:pPr>
        <w:numPr>
          <w:ilvl w:val="0"/>
          <w:numId w:val="0"/>
        </w:numPr>
        <w:spacing w:line="360" w:lineRule="auto"/>
        <w:ind w:firstLine="0"/>
        <w:rPr>
          <w:rFonts w:hint="eastAsia" w:ascii="宋体" w:hAnsi="宋体" w:eastAsia="宋体" w:cs="宋体"/>
          <w:highlight w:val="none"/>
          <w:lang w:eastAsia="zh-CN"/>
        </w:rPr>
      </w:pPr>
      <w:r>
        <w:rPr>
          <w:rFonts w:hint="eastAsia" w:ascii="宋体" w:hAnsi="宋体" w:eastAsia="宋体" w:cs="宋体"/>
          <w:highlight w:val="none"/>
          <w:lang w:eastAsia="zh-CN"/>
        </w:rPr>
        <w:t>投标人在本项目招投标活动中，承诺不参与各种情形的串通投标等违法违规行为。【需提供承诺函，格式自拟】</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说明：</w:t>
      </w:r>
      <w:r>
        <w:rPr>
          <w:rFonts w:hint="eastAsia" w:ascii="宋体" w:hAnsi="宋体" w:eastAsia="宋体" w:cs="宋体"/>
          <w:highlight w:val="none"/>
        </w:rPr>
        <w:t xml:space="preserve">打“★”号条款为实质性条款，若有任何一条负偏离或不满足则导致投标无效。 </w:t>
      </w:r>
    </w:p>
    <w:p>
      <w:pPr>
        <w:spacing w:line="360" w:lineRule="auto"/>
        <w:rPr>
          <w:rFonts w:hint="eastAsia" w:ascii="宋体" w:hAnsi="宋体" w:eastAsia="宋体" w:cs="宋体"/>
          <w:highlight w:val="none"/>
        </w:rPr>
      </w:pPr>
      <w:r>
        <w:rPr>
          <w:rFonts w:hint="eastAsia" w:ascii="宋体" w:hAnsi="宋体" w:eastAsia="宋体" w:cs="宋体"/>
          <w:highlight w:val="none"/>
        </w:rPr>
        <w:t>打“▲”号条款为重要技术参数，若有部分“▲”条款未响应或不满足，不作为无效投标条款。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42703"/>
    <w:multiLevelType w:val="singleLevel"/>
    <w:tmpl w:val="D2C42703"/>
    <w:lvl w:ilvl="0" w:tentative="0">
      <w:start w:val="1"/>
      <w:numFmt w:val="decimal"/>
      <w:suff w:val="nothing"/>
      <w:lvlText w:val="（%1）"/>
      <w:lvlJc w:val="left"/>
    </w:lvl>
  </w:abstractNum>
  <w:abstractNum w:abstractNumId="1">
    <w:nsid w:val="D56FE8A2"/>
    <w:multiLevelType w:val="singleLevel"/>
    <w:tmpl w:val="D56FE8A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zQ5MzM4YjJhYzY1N2U4ZWI3OTgxNmYwN2EzMzEifQ=="/>
  </w:docVars>
  <w:rsids>
    <w:rsidRoot w:val="42DD5FE9"/>
    <w:rsid w:val="42DD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_Style 3"/>
    <w:basedOn w:val="1"/>
    <w:qFormat/>
    <w:uiPriority w:val="0"/>
    <w:pPr>
      <w:widowControl w:val="0"/>
      <w:ind w:firstLine="420" w:firstLineChars="200"/>
      <w:jc w:val="both"/>
    </w:pPr>
    <w:rPr>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2025-12-26T04:01:00Z</dcterms:created>
  <dc:creator>administrator</dc:creator>
  <cp:lastModifiedBy>administrator</cp:lastModifiedBy>
  <dcterms:modified xsi:type="dcterms:W3CDTF">2025-12-26T04:02:31Z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76ECA09BA6F14C2B8233CEDB744E2D8B</vt:lpwstr>
  </property>
</Properties>
</file>