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bookmarkStart w:id="0" w:name="_GoBack"/>
      <w:bookmarkEnd w:id="0"/>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茂名市茂南区食品企业集团新坡食品有限公司屠宰场GMP升级改造项目-基础设施工程</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eastAsia" w:ascii="仿宋" w:hAnsi="仿宋" w:eastAsia="仿宋" w:cs="仿宋"/>
                <w:bCs/>
                <w:color w:val="auto"/>
                <w:sz w:val="24"/>
                <w:szCs w:val="24"/>
                <w:highlight w:val="none"/>
                <w:lang w:val="en-US" w:eastAsia="zh-CN"/>
              </w:rPr>
              <w:t>SKMNCG2026003</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782A1B90">
            <w:pPr>
              <w:pStyle w:val="19"/>
              <w:spacing w:line="240" w:lineRule="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1、报名方式：</w:t>
            </w:r>
          </w:p>
          <w:p w14:paraId="68142F45">
            <w:pPr>
              <w:pStyle w:val="19"/>
              <w:spacing w:line="240" w:lineRule="auto"/>
              <w:ind w:firstLine="480" w:firstLineChars="2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本项目只接受网上报名，报名供应商须在获取磋商文件时间内按以下要求将盖章版PDF扫描件的报名资料发送至指定邮箱：suikemn@163.com，为避免遗漏，邮件主题请注明：公司名称+茂名市茂南区食品企业集团新坡食品有限公司屠宰场GMP升级改造项目-基础设施工程。另外，建议报名供应商设置邮箱回执，及时了解邮件发送情况。递交响应文件当天，须同时递交盖章版报名资料原件和缴纳资料费300元。</w:t>
            </w:r>
          </w:p>
          <w:p w14:paraId="6770D613">
            <w:pPr>
              <w:pStyle w:val="19"/>
              <w:spacing w:line="240" w:lineRule="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2、报名资料:</w:t>
            </w:r>
          </w:p>
          <w:p w14:paraId="1AA4CDB8">
            <w:pPr>
              <w:pStyle w:val="19"/>
              <w:spacing w:line="240" w:lineRule="auto"/>
              <w:ind w:firstLine="240" w:firstLineChars="1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1）《采购文件获取登记表》（见公告附件）;</w:t>
            </w:r>
          </w:p>
          <w:p w14:paraId="60C4B027">
            <w:pPr>
              <w:pStyle w:val="19"/>
              <w:spacing w:line="240" w:lineRule="auto"/>
              <w:ind w:firstLine="240" w:firstLineChars="1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2）提供有效的营业执照或法人登记证书复印件；</w:t>
            </w:r>
          </w:p>
          <w:p w14:paraId="4FF1D22D">
            <w:pPr>
              <w:pStyle w:val="19"/>
              <w:spacing w:line="240" w:lineRule="auto"/>
              <w:ind w:firstLine="240" w:firstLineChars="1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3）法定代表人证明书及法定代表人身份证复印件和法定代表人授权委托书及授权代表身份证复印件；（如法定代表人亲自办理获取招标文件事宜的，无需提交法定代表人授权委托书及授权代表身份证复印件。）</w:t>
            </w:r>
          </w:p>
          <w:p w14:paraId="4EA581F0">
            <w:pPr>
              <w:pStyle w:val="19"/>
              <w:spacing w:line="240" w:lineRule="auto"/>
              <w:ind w:firstLine="240" w:firstLineChars="100"/>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4）有效的建筑工程施工总承包叁级或以上施工资质和具有建设主管部门颁发的有效《安全生产许可证》复印件；</w:t>
            </w:r>
          </w:p>
          <w:p w14:paraId="2AF56922">
            <w:pPr>
              <w:pStyle w:val="19"/>
              <w:spacing w:line="240" w:lineRule="auto"/>
              <w:outlineLvl w:val="9"/>
              <w:rPr>
                <w:rFonts w:hint="eastAsia" w:ascii="仿宋" w:hAnsi="仿宋" w:eastAsia="仿宋" w:cs="仿宋"/>
                <w:kern w:val="2"/>
                <w:lang w:val="en-US" w:eastAsia="zh-CN"/>
              </w:rPr>
            </w:pPr>
            <w:r>
              <w:rPr>
                <w:rFonts w:hint="eastAsia" w:ascii="仿宋" w:hAnsi="仿宋" w:eastAsia="仿宋" w:cs="仿宋"/>
                <w:kern w:val="2"/>
                <w:sz w:val="24"/>
                <w:szCs w:val="24"/>
                <w:lang w:val="en-US" w:eastAsia="zh-CN"/>
              </w:rPr>
              <w:t>注：采购代理机构对响应供应商提交的证件资料的核对，不代表其资格的确认。响应供应商的资格最终以评标委员会根据其响应文件中的相关资料作出的评审结论为准。</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center"/>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4"/>
                <w:szCs w:val="24"/>
                <w:lang w:val="en-US" w:eastAsia="zh-CN" w:bidi="ar-SA"/>
              </w:rPr>
              <w:t>2、采购代理机构对响应供应商提交的证件资料的核对，不代表其资格的确认。响应供应商的资格最终以评标委员会根据其响应文件中的相关资料作出的评审结论为准。</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2026A55"/>
    <w:rsid w:val="129F0E57"/>
    <w:rsid w:val="142F301A"/>
    <w:rsid w:val="157D390C"/>
    <w:rsid w:val="15CE7D54"/>
    <w:rsid w:val="17181277"/>
    <w:rsid w:val="176F4EEF"/>
    <w:rsid w:val="17720614"/>
    <w:rsid w:val="18FC386E"/>
    <w:rsid w:val="19804A87"/>
    <w:rsid w:val="1BE6171F"/>
    <w:rsid w:val="1D3908B2"/>
    <w:rsid w:val="1EBD79C6"/>
    <w:rsid w:val="20AE67A8"/>
    <w:rsid w:val="219E73D9"/>
    <w:rsid w:val="24DA6D1B"/>
    <w:rsid w:val="252569C2"/>
    <w:rsid w:val="25D8070E"/>
    <w:rsid w:val="25F763D0"/>
    <w:rsid w:val="26013B36"/>
    <w:rsid w:val="269D2120"/>
    <w:rsid w:val="27006F3C"/>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647053F"/>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Body Text First Indent"/>
    <w:basedOn w:val="1"/>
    <w:qFormat/>
    <w:uiPriority w:val="0"/>
    <w:pPr>
      <w:ind w:firstLine="420" w:firstLineChars="100"/>
    </w:pPr>
    <w:rPr>
      <w:rFonts w:ascii="Times New Roman" w:hAnsi="Times New Roman" w:eastAsia="宋体" w:cs="Times New Roman"/>
    </w:r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9">
    <w:name w:val="footer"/>
    <w:basedOn w:val="1"/>
    <w:qFormat/>
    <w:uiPriority w:val="0"/>
    <w:pPr>
      <w:tabs>
        <w:tab w:val="center" w:pos="4153"/>
        <w:tab w:val="right" w:pos="8306"/>
      </w:tabs>
      <w:snapToGrid w:val="0"/>
      <w:spacing w:line="400" w:lineRule="exac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711</Characters>
  <Lines>0</Lines>
  <Paragraphs>0</Paragraphs>
  <TotalTime>0</TotalTime>
  <ScaleCrop>false</ScaleCrop>
  <LinksUpToDate>false</LinksUpToDate>
  <CharactersWithSpaces>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肥崽崽</cp:lastModifiedBy>
  <cp:lastPrinted>2025-07-22T07:19:00Z</cp:lastPrinted>
  <dcterms:modified xsi:type="dcterms:W3CDTF">2026-03-16T01:41:30Z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